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D49F" w14:textId="14E07F9F" w:rsidR="00A61033" w:rsidRDefault="00000000" w:rsidP="006D686C">
      <w:pPr>
        <w:spacing w:before="60"/>
        <w:jc w:val="center"/>
        <w:rPr>
          <w:b/>
          <w:sz w:val="19"/>
        </w:rPr>
      </w:pPr>
      <w:r>
        <w:rPr>
          <w:b/>
          <w:sz w:val="24"/>
        </w:rPr>
        <w:t>F</w:t>
      </w:r>
      <w:r>
        <w:rPr>
          <w:b/>
          <w:sz w:val="19"/>
        </w:rPr>
        <w:t xml:space="preserve">INANCING </w:t>
      </w:r>
      <w:r>
        <w:rPr>
          <w:b/>
          <w:sz w:val="24"/>
        </w:rPr>
        <w:t>C</w:t>
      </w:r>
      <w:r>
        <w:rPr>
          <w:b/>
          <w:sz w:val="19"/>
        </w:rPr>
        <w:t xml:space="preserve">ORPORATE </w:t>
      </w:r>
      <w:r>
        <w:rPr>
          <w:b/>
          <w:sz w:val="24"/>
        </w:rPr>
        <w:t>B</w:t>
      </w:r>
      <w:r>
        <w:rPr>
          <w:b/>
          <w:sz w:val="19"/>
        </w:rPr>
        <w:t xml:space="preserve">IODIVERSITY </w:t>
      </w:r>
      <w:r>
        <w:rPr>
          <w:b/>
          <w:sz w:val="24"/>
        </w:rPr>
        <w:t>S</w:t>
      </w:r>
      <w:r>
        <w:rPr>
          <w:b/>
          <w:sz w:val="19"/>
        </w:rPr>
        <w:t>TRATEGIES</w:t>
      </w:r>
    </w:p>
    <w:p w14:paraId="73C79726" w14:textId="77777777" w:rsidR="00A61033" w:rsidRDefault="00A61033">
      <w:pPr>
        <w:pStyle w:val="BodyText"/>
        <w:rPr>
          <w:b/>
          <w:sz w:val="26"/>
        </w:rPr>
      </w:pPr>
    </w:p>
    <w:p w14:paraId="208BAD76" w14:textId="77777777" w:rsidR="00A61033" w:rsidRDefault="00000000">
      <w:pPr>
        <w:pStyle w:val="BodyText"/>
        <w:ind w:left="100" w:right="116" w:firstLine="707"/>
        <w:jc w:val="both"/>
      </w:pPr>
      <w:r>
        <w:t>Biodiversity loss is accelerating globally as economic systems continue to prioritise production</w:t>
      </w:r>
      <w:r>
        <w:rPr>
          <w:spacing w:val="-13"/>
        </w:rPr>
        <w:t xml:space="preserve"> </w:t>
      </w:r>
      <w:r>
        <w:t>and</w:t>
      </w:r>
      <w:r>
        <w:rPr>
          <w:spacing w:val="-11"/>
        </w:rPr>
        <w:t xml:space="preserve"> </w:t>
      </w:r>
      <w:r>
        <w:t>consumption</w:t>
      </w:r>
      <w:r>
        <w:rPr>
          <w:spacing w:val="-13"/>
        </w:rPr>
        <w:t xml:space="preserve"> </w:t>
      </w:r>
      <w:r>
        <w:t>that</w:t>
      </w:r>
      <w:r>
        <w:rPr>
          <w:spacing w:val="-13"/>
        </w:rPr>
        <w:t xml:space="preserve"> </w:t>
      </w:r>
      <w:r>
        <w:t>depend</w:t>
      </w:r>
      <w:r>
        <w:rPr>
          <w:spacing w:val="-11"/>
        </w:rPr>
        <w:t xml:space="preserve"> </w:t>
      </w:r>
      <w:r>
        <w:t>on</w:t>
      </w:r>
      <w:r>
        <w:rPr>
          <w:spacing w:val="-13"/>
        </w:rPr>
        <w:t xml:space="preserve"> </w:t>
      </w:r>
      <w:r>
        <w:t>resource</w:t>
      </w:r>
      <w:r>
        <w:rPr>
          <w:spacing w:val="-12"/>
        </w:rPr>
        <w:t xml:space="preserve"> </w:t>
      </w:r>
      <w:r>
        <w:t>extraction</w:t>
      </w:r>
      <w:r>
        <w:rPr>
          <w:spacing w:val="-11"/>
        </w:rPr>
        <w:t xml:space="preserve"> </w:t>
      </w:r>
      <w:r>
        <w:t>and</w:t>
      </w:r>
      <w:r>
        <w:rPr>
          <w:spacing w:val="-13"/>
        </w:rPr>
        <w:t xml:space="preserve"> </w:t>
      </w:r>
      <w:r>
        <w:t>environmental</w:t>
      </w:r>
      <w:r>
        <w:rPr>
          <w:spacing w:val="-13"/>
        </w:rPr>
        <w:t xml:space="preserve"> </w:t>
      </w:r>
      <w:r>
        <w:t>conversion. This</w:t>
      </w:r>
      <w:r>
        <w:rPr>
          <w:spacing w:val="-12"/>
        </w:rPr>
        <w:t xml:space="preserve"> </w:t>
      </w:r>
      <w:r>
        <w:t>trajectory</w:t>
      </w:r>
      <w:r>
        <w:rPr>
          <w:spacing w:val="-11"/>
        </w:rPr>
        <w:t xml:space="preserve"> </w:t>
      </w:r>
      <w:r>
        <w:t>is</w:t>
      </w:r>
      <w:r>
        <w:rPr>
          <w:spacing w:val="-10"/>
        </w:rPr>
        <w:t xml:space="preserve"> </w:t>
      </w:r>
      <w:r>
        <w:t>unsustainable</w:t>
      </w:r>
      <w:r>
        <w:rPr>
          <w:spacing w:val="-12"/>
        </w:rPr>
        <w:t xml:space="preserve"> </w:t>
      </w:r>
      <w:r>
        <w:t>because</w:t>
      </w:r>
      <w:r>
        <w:rPr>
          <w:spacing w:val="-13"/>
        </w:rPr>
        <w:t xml:space="preserve"> </w:t>
      </w:r>
      <w:r>
        <w:t>societies</w:t>
      </w:r>
      <w:r>
        <w:rPr>
          <w:spacing w:val="-11"/>
        </w:rPr>
        <w:t xml:space="preserve"> </w:t>
      </w:r>
      <w:r>
        <w:t>and</w:t>
      </w:r>
      <w:r>
        <w:rPr>
          <w:spacing w:val="-11"/>
        </w:rPr>
        <w:t xml:space="preserve"> </w:t>
      </w:r>
      <w:r>
        <w:t>economies</w:t>
      </w:r>
      <w:r>
        <w:rPr>
          <w:spacing w:val="-11"/>
        </w:rPr>
        <w:t xml:space="preserve"> </w:t>
      </w:r>
      <w:r>
        <w:t>fundamentally</w:t>
      </w:r>
      <w:r>
        <w:rPr>
          <w:spacing w:val="-9"/>
        </w:rPr>
        <w:t xml:space="preserve"> </w:t>
      </w:r>
      <w:r>
        <w:t>rely</w:t>
      </w:r>
      <w:r>
        <w:rPr>
          <w:spacing w:val="-11"/>
        </w:rPr>
        <w:t xml:space="preserve"> </w:t>
      </w:r>
      <w:r>
        <w:t>on</w:t>
      </w:r>
      <w:r>
        <w:rPr>
          <w:spacing w:val="-11"/>
        </w:rPr>
        <w:t xml:space="preserve"> </w:t>
      </w:r>
      <w:r>
        <w:t>healthy ecosystems for long-term well-being. Addressing biodiversity decline requires a transformation of economic systems that both reduce ecological harm and promote the regeneration of natural capital. Corporations are central to this transformation because they simultaneously drive biodiversity loss and depend on ecosystem services for their own continuity.</w:t>
      </w:r>
      <w:r>
        <w:rPr>
          <w:spacing w:val="-14"/>
        </w:rPr>
        <w:t xml:space="preserve"> </w:t>
      </w:r>
      <w:r>
        <w:t>However,</w:t>
      </w:r>
      <w:r>
        <w:rPr>
          <w:spacing w:val="-14"/>
        </w:rPr>
        <w:t xml:space="preserve"> </w:t>
      </w:r>
      <w:r>
        <w:t>a</w:t>
      </w:r>
      <w:r>
        <w:rPr>
          <w:spacing w:val="-14"/>
        </w:rPr>
        <w:t xml:space="preserve"> </w:t>
      </w:r>
      <w:r>
        <w:t>persistent</w:t>
      </w:r>
      <w:r>
        <w:rPr>
          <w:spacing w:val="-13"/>
        </w:rPr>
        <w:t xml:space="preserve"> </w:t>
      </w:r>
      <w:r>
        <w:t>challenge</w:t>
      </w:r>
      <w:r>
        <w:rPr>
          <w:spacing w:val="-14"/>
        </w:rPr>
        <w:t xml:space="preserve"> </w:t>
      </w:r>
      <w:r>
        <w:t>lies</w:t>
      </w:r>
      <w:r>
        <w:rPr>
          <w:spacing w:val="-13"/>
        </w:rPr>
        <w:t xml:space="preserve"> </w:t>
      </w:r>
      <w:r>
        <w:t>in</w:t>
      </w:r>
      <w:r>
        <w:rPr>
          <w:spacing w:val="-14"/>
        </w:rPr>
        <w:t xml:space="preserve"> </w:t>
      </w:r>
      <w:r>
        <w:t>the</w:t>
      </w:r>
      <w:r>
        <w:rPr>
          <w:spacing w:val="-14"/>
        </w:rPr>
        <w:t xml:space="preserve"> </w:t>
      </w:r>
      <w:r>
        <w:t>financing</w:t>
      </w:r>
      <w:r>
        <w:rPr>
          <w:spacing w:val="-13"/>
        </w:rPr>
        <w:t xml:space="preserve"> </w:t>
      </w:r>
      <w:r>
        <w:t>of</w:t>
      </w:r>
      <w:r>
        <w:rPr>
          <w:spacing w:val="-14"/>
        </w:rPr>
        <w:t xml:space="preserve"> </w:t>
      </w:r>
      <w:r>
        <w:t>biodiversity</w:t>
      </w:r>
      <w:r>
        <w:rPr>
          <w:spacing w:val="-13"/>
        </w:rPr>
        <w:t xml:space="preserve"> </w:t>
      </w:r>
      <w:r>
        <w:t>initiatives.</w:t>
      </w:r>
      <w:r>
        <w:rPr>
          <w:spacing w:val="-16"/>
        </w:rPr>
        <w:t xml:space="preserve"> </w:t>
      </w:r>
      <w:r>
        <w:t>Both public and private actors struggle to mobilise and allocate financial resources strategically to support conservation and restoration</w:t>
      </w:r>
      <w:r>
        <w:rPr>
          <w:spacing w:val="1"/>
        </w:rPr>
        <w:t xml:space="preserve"> </w:t>
      </w:r>
      <w:r>
        <w:t>goals.</w:t>
      </w:r>
    </w:p>
    <w:p w14:paraId="298A4BE7" w14:textId="77777777" w:rsidR="00A61033" w:rsidRDefault="00A61033">
      <w:pPr>
        <w:pStyle w:val="BodyText"/>
        <w:spacing w:before="5"/>
      </w:pPr>
    </w:p>
    <w:p w14:paraId="398EB40F" w14:textId="77777777" w:rsidR="00A61033" w:rsidRDefault="00000000">
      <w:pPr>
        <w:pStyle w:val="BodyText"/>
        <w:ind w:left="100" w:right="116" w:firstLine="707"/>
        <w:jc w:val="both"/>
      </w:pPr>
      <w:r>
        <w:t>Although biodiversity is increasingly recognised as a material factor for long-term corporate resilience, firms continue to face difficulties in developing a convincing business rationale for sustained investment. Many investors also perceive a lack of viable opportunities in</w:t>
      </w:r>
      <w:r>
        <w:rPr>
          <w:spacing w:val="-8"/>
        </w:rPr>
        <w:t xml:space="preserve"> </w:t>
      </w:r>
      <w:r>
        <w:t>this</w:t>
      </w:r>
      <w:r>
        <w:rPr>
          <w:spacing w:val="-8"/>
        </w:rPr>
        <w:t xml:space="preserve"> </w:t>
      </w:r>
      <w:r>
        <w:t>area.</w:t>
      </w:r>
      <w:r>
        <w:rPr>
          <w:spacing w:val="-9"/>
        </w:rPr>
        <w:t xml:space="preserve"> </w:t>
      </w:r>
      <w:r>
        <w:t>The</w:t>
      </w:r>
      <w:r>
        <w:rPr>
          <w:spacing w:val="-8"/>
        </w:rPr>
        <w:t xml:space="preserve"> </w:t>
      </w:r>
      <w:r>
        <w:t>academic</w:t>
      </w:r>
      <w:r>
        <w:rPr>
          <w:spacing w:val="-10"/>
        </w:rPr>
        <w:t xml:space="preserve"> </w:t>
      </w:r>
      <w:r>
        <w:t>discussion</w:t>
      </w:r>
      <w:r>
        <w:rPr>
          <w:spacing w:val="-8"/>
        </w:rPr>
        <w:t xml:space="preserve"> </w:t>
      </w:r>
      <w:r>
        <w:t>on</w:t>
      </w:r>
      <w:r>
        <w:rPr>
          <w:spacing w:val="-9"/>
        </w:rPr>
        <w:t xml:space="preserve"> </w:t>
      </w:r>
      <w:r>
        <w:t>corporate</w:t>
      </w:r>
      <w:r>
        <w:rPr>
          <w:spacing w:val="-7"/>
        </w:rPr>
        <w:t xml:space="preserve"> </w:t>
      </w:r>
      <w:r>
        <w:t>biodiversity</w:t>
      </w:r>
      <w:r>
        <w:rPr>
          <w:spacing w:val="-8"/>
        </w:rPr>
        <w:t xml:space="preserve"> </w:t>
      </w:r>
      <w:r>
        <w:t>strategies</w:t>
      </w:r>
      <w:r>
        <w:rPr>
          <w:spacing w:val="-8"/>
        </w:rPr>
        <w:t xml:space="preserve"> </w:t>
      </w:r>
      <w:r>
        <w:t>has</w:t>
      </w:r>
      <w:r>
        <w:rPr>
          <w:spacing w:val="-8"/>
        </w:rPr>
        <w:t xml:space="preserve"> </w:t>
      </w:r>
      <w:r>
        <w:t>identified</w:t>
      </w:r>
      <w:r>
        <w:rPr>
          <w:spacing w:val="-8"/>
        </w:rPr>
        <w:t xml:space="preserve"> </w:t>
      </w:r>
      <w:r>
        <w:t>several ways firms engage with nature, viewing biodiversity as either a source of risk, an asset, or a competitive advantage. These strategies range from mitigating harmful impacts to actively generating ecological gains. Yet, much of the literature remains conceptual and provides limited</w:t>
      </w:r>
      <w:r>
        <w:rPr>
          <w:spacing w:val="-16"/>
        </w:rPr>
        <w:t xml:space="preserve"> </w:t>
      </w:r>
      <w:r>
        <w:t>insight</w:t>
      </w:r>
      <w:r>
        <w:rPr>
          <w:spacing w:val="-15"/>
        </w:rPr>
        <w:t xml:space="preserve"> </w:t>
      </w:r>
      <w:r>
        <w:t>into</w:t>
      </w:r>
      <w:r>
        <w:rPr>
          <w:spacing w:val="-15"/>
        </w:rPr>
        <w:t xml:space="preserve"> </w:t>
      </w:r>
      <w:r>
        <w:t>the</w:t>
      </w:r>
      <w:r>
        <w:rPr>
          <w:spacing w:val="-16"/>
        </w:rPr>
        <w:t xml:space="preserve"> </w:t>
      </w:r>
      <w:r>
        <w:t>financial</w:t>
      </w:r>
      <w:r>
        <w:rPr>
          <w:spacing w:val="-15"/>
        </w:rPr>
        <w:t xml:space="preserve"> </w:t>
      </w:r>
      <w:r>
        <w:t>mechanisms</w:t>
      </w:r>
      <w:r>
        <w:rPr>
          <w:spacing w:val="-16"/>
        </w:rPr>
        <w:t xml:space="preserve"> </w:t>
      </w:r>
      <w:r>
        <w:t>that</w:t>
      </w:r>
      <w:r>
        <w:rPr>
          <w:spacing w:val="-15"/>
        </w:rPr>
        <w:t xml:space="preserve"> </w:t>
      </w:r>
      <w:r>
        <w:t>transform</w:t>
      </w:r>
      <w:r>
        <w:rPr>
          <w:spacing w:val="-15"/>
        </w:rPr>
        <w:t xml:space="preserve"> </w:t>
      </w:r>
      <w:r>
        <w:t>strategic</w:t>
      </w:r>
      <w:r>
        <w:rPr>
          <w:spacing w:val="-16"/>
        </w:rPr>
        <w:t xml:space="preserve"> </w:t>
      </w:r>
      <w:r>
        <w:t>intent</w:t>
      </w:r>
      <w:r>
        <w:rPr>
          <w:spacing w:val="-14"/>
        </w:rPr>
        <w:t xml:space="preserve"> </w:t>
      </w:r>
      <w:r>
        <w:t>into</w:t>
      </w:r>
      <w:r>
        <w:rPr>
          <w:spacing w:val="-15"/>
        </w:rPr>
        <w:t xml:space="preserve"> </w:t>
      </w:r>
      <w:r>
        <w:t>tangible</w:t>
      </w:r>
      <w:r>
        <w:rPr>
          <w:spacing w:val="-15"/>
        </w:rPr>
        <w:t xml:space="preserve"> </w:t>
      </w:r>
      <w:r>
        <w:t>action. Understanding how these strategies are financed is therefore essential for advancing both research and</w:t>
      </w:r>
      <w:r>
        <w:rPr>
          <w:spacing w:val="-1"/>
        </w:rPr>
        <w:t xml:space="preserve"> </w:t>
      </w:r>
      <w:r>
        <w:t>practice.</w:t>
      </w:r>
    </w:p>
    <w:p w14:paraId="329E86CE" w14:textId="77777777" w:rsidR="00A61033" w:rsidRDefault="00A61033">
      <w:pPr>
        <w:pStyle w:val="BodyText"/>
        <w:spacing w:before="3"/>
      </w:pPr>
    </w:p>
    <w:p w14:paraId="06A66122" w14:textId="77777777" w:rsidR="00A61033" w:rsidRDefault="00000000">
      <w:pPr>
        <w:pStyle w:val="BodyText"/>
        <w:spacing w:before="1"/>
        <w:ind w:left="100" w:right="116" w:firstLine="707"/>
        <w:jc w:val="both"/>
      </w:pPr>
      <w:r>
        <w:t>The global funding gap for biodiversity is widely recognised as one of the key barriers to effective action. Existing studies on biodiversity finance tend to focus on market-based mechanisms,</w:t>
      </w:r>
      <w:r>
        <w:rPr>
          <w:spacing w:val="-13"/>
        </w:rPr>
        <w:t xml:space="preserve"> </w:t>
      </w:r>
      <w:r>
        <w:t>investment</w:t>
      </w:r>
      <w:r>
        <w:rPr>
          <w:spacing w:val="-10"/>
        </w:rPr>
        <w:t xml:space="preserve"> </w:t>
      </w:r>
      <w:r>
        <w:t>flows,</w:t>
      </w:r>
      <w:r>
        <w:rPr>
          <w:spacing w:val="-12"/>
        </w:rPr>
        <w:t xml:space="preserve"> </w:t>
      </w:r>
      <w:r>
        <w:t>and</w:t>
      </w:r>
      <w:r>
        <w:rPr>
          <w:spacing w:val="-11"/>
        </w:rPr>
        <w:t xml:space="preserve"> </w:t>
      </w:r>
      <w:r>
        <w:t>risk</w:t>
      </w:r>
      <w:r>
        <w:rPr>
          <w:spacing w:val="-12"/>
        </w:rPr>
        <w:t xml:space="preserve"> </w:t>
      </w:r>
      <w:r>
        <w:t>valuation,</w:t>
      </w:r>
      <w:r>
        <w:rPr>
          <w:spacing w:val="-10"/>
        </w:rPr>
        <w:t xml:space="preserve"> </w:t>
      </w:r>
      <w:r>
        <w:t>but</w:t>
      </w:r>
      <w:r>
        <w:rPr>
          <w:spacing w:val="-13"/>
        </w:rPr>
        <w:t xml:space="preserve"> </w:t>
      </w:r>
      <w:r>
        <w:t>they</w:t>
      </w:r>
      <w:r>
        <w:rPr>
          <w:spacing w:val="-13"/>
        </w:rPr>
        <w:t xml:space="preserve"> </w:t>
      </w:r>
      <w:r>
        <w:t>pay</w:t>
      </w:r>
      <w:r>
        <w:rPr>
          <w:spacing w:val="-12"/>
        </w:rPr>
        <w:t xml:space="preserve"> </w:t>
      </w:r>
      <w:r>
        <w:t>less</w:t>
      </w:r>
      <w:r>
        <w:rPr>
          <w:spacing w:val="-13"/>
        </w:rPr>
        <w:t xml:space="preserve"> </w:t>
      </w:r>
      <w:r>
        <w:t>attention</w:t>
      </w:r>
      <w:r>
        <w:rPr>
          <w:spacing w:val="-12"/>
        </w:rPr>
        <w:t xml:space="preserve"> </w:t>
      </w:r>
      <w:r>
        <w:t>to</w:t>
      </w:r>
      <w:r>
        <w:rPr>
          <w:spacing w:val="-12"/>
        </w:rPr>
        <w:t xml:space="preserve"> </w:t>
      </w:r>
      <w:r>
        <w:t>how</w:t>
      </w:r>
      <w:r>
        <w:rPr>
          <w:spacing w:val="-14"/>
        </w:rPr>
        <w:t xml:space="preserve"> </w:t>
      </w:r>
      <w:r>
        <w:t>individual corporations manage internal capital allocation. This leaves open an important question about how firms mobilise and direct financial resources toward biodiversity goals, both within the organisation</w:t>
      </w:r>
      <w:r>
        <w:rPr>
          <w:spacing w:val="-11"/>
        </w:rPr>
        <w:t xml:space="preserve"> </w:t>
      </w:r>
      <w:r>
        <w:t>and</w:t>
      </w:r>
      <w:r>
        <w:rPr>
          <w:spacing w:val="-12"/>
        </w:rPr>
        <w:t xml:space="preserve"> </w:t>
      </w:r>
      <w:r>
        <w:t>in</w:t>
      </w:r>
      <w:r>
        <w:rPr>
          <w:spacing w:val="-11"/>
        </w:rPr>
        <w:t xml:space="preserve"> </w:t>
      </w:r>
      <w:r>
        <w:t>collaboration</w:t>
      </w:r>
      <w:r>
        <w:rPr>
          <w:spacing w:val="-12"/>
        </w:rPr>
        <w:t xml:space="preserve"> </w:t>
      </w:r>
      <w:r>
        <w:t>with</w:t>
      </w:r>
      <w:r>
        <w:rPr>
          <w:spacing w:val="-12"/>
        </w:rPr>
        <w:t xml:space="preserve"> </w:t>
      </w:r>
      <w:r>
        <w:t>external</w:t>
      </w:r>
      <w:r>
        <w:rPr>
          <w:spacing w:val="-11"/>
        </w:rPr>
        <w:t xml:space="preserve"> </w:t>
      </w:r>
      <w:r>
        <w:t>partners.</w:t>
      </w:r>
      <w:r>
        <w:rPr>
          <w:spacing w:val="-12"/>
        </w:rPr>
        <w:t xml:space="preserve"> </w:t>
      </w:r>
      <w:r>
        <w:t>Compared</w:t>
      </w:r>
      <w:r>
        <w:rPr>
          <w:spacing w:val="-12"/>
        </w:rPr>
        <w:t xml:space="preserve"> </w:t>
      </w:r>
      <w:r>
        <w:t>to</w:t>
      </w:r>
      <w:r>
        <w:rPr>
          <w:spacing w:val="-11"/>
        </w:rPr>
        <w:t xml:space="preserve"> </w:t>
      </w:r>
      <w:r>
        <w:t>climate</w:t>
      </w:r>
      <w:r>
        <w:rPr>
          <w:spacing w:val="-13"/>
        </w:rPr>
        <w:t xml:space="preserve"> </w:t>
      </w:r>
      <w:r>
        <w:t>finance,</w:t>
      </w:r>
      <w:r>
        <w:rPr>
          <w:spacing w:val="-12"/>
        </w:rPr>
        <w:t xml:space="preserve"> </w:t>
      </w:r>
      <w:r>
        <w:t>building a business rationale for biodiversity is more difficult because of the absence of standardised valuation frameworks and performance metrics. Biodiversity as a public good is prone to market failures, and its complex ecological characteristics make it difficult to measure and monetise. Benefits often materialise over long time horizons, and the returns are uncertain or non-financial.</w:t>
      </w:r>
      <w:r>
        <w:rPr>
          <w:spacing w:val="-14"/>
        </w:rPr>
        <w:t xml:space="preserve"> </w:t>
      </w:r>
      <w:r>
        <w:t>These</w:t>
      </w:r>
      <w:r>
        <w:rPr>
          <w:spacing w:val="-13"/>
        </w:rPr>
        <w:t xml:space="preserve"> </w:t>
      </w:r>
      <w:r>
        <w:t>features</w:t>
      </w:r>
      <w:r>
        <w:rPr>
          <w:spacing w:val="-13"/>
        </w:rPr>
        <w:t xml:space="preserve"> </w:t>
      </w:r>
      <w:r>
        <w:t>challenge</w:t>
      </w:r>
      <w:r>
        <w:rPr>
          <w:spacing w:val="-13"/>
        </w:rPr>
        <w:t xml:space="preserve"> </w:t>
      </w:r>
      <w:r>
        <w:t>conventional</w:t>
      </w:r>
      <w:r>
        <w:rPr>
          <w:spacing w:val="-13"/>
        </w:rPr>
        <w:t xml:space="preserve"> </w:t>
      </w:r>
      <w:r>
        <w:t>financial</w:t>
      </w:r>
      <w:r>
        <w:rPr>
          <w:spacing w:val="-12"/>
        </w:rPr>
        <w:t xml:space="preserve"> </w:t>
      </w:r>
      <w:r>
        <w:t>evaluation</w:t>
      </w:r>
      <w:r>
        <w:rPr>
          <w:spacing w:val="-12"/>
        </w:rPr>
        <w:t xml:space="preserve"> </w:t>
      </w:r>
      <w:r>
        <w:t>models</w:t>
      </w:r>
      <w:r>
        <w:rPr>
          <w:spacing w:val="-13"/>
        </w:rPr>
        <w:t xml:space="preserve"> </w:t>
      </w:r>
      <w:r>
        <w:t>that</w:t>
      </w:r>
      <w:r>
        <w:rPr>
          <w:spacing w:val="-14"/>
        </w:rPr>
        <w:t xml:space="preserve"> </w:t>
      </w:r>
      <w:r>
        <w:t>prioritise short-term returns and predictable cash flows. As a result, biodiversity projects are frequently viewed as peripheral activities rather than as investments with strategic</w:t>
      </w:r>
      <w:r>
        <w:rPr>
          <w:spacing w:val="-8"/>
        </w:rPr>
        <w:t xml:space="preserve"> </w:t>
      </w:r>
      <w:r>
        <w:t>relevance.</w:t>
      </w:r>
    </w:p>
    <w:p w14:paraId="37E91617" w14:textId="77777777" w:rsidR="00A61033" w:rsidRDefault="00A61033">
      <w:pPr>
        <w:pStyle w:val="BodyText"/>
        <w:spacing w:before="5"/>
      </w:pPr>
    </w:p>
    <w:p w14:paraId="040147CD" w14:textId="77777777" w:rsidR="00A61033" w:rsidRDefault="00000000">
      <w:pPr>
        <w:pStyle w:val="BodyText"/>
        <w:ind w:left="100" w:right="119" w:firstLine="707"/>
        <w:jc w:val="both"/>
      </w:pPr>
      <w:r>
        <w:t>Understanding</w:t>
      </w:r>
      <w:r>
        <w:rPr>
          <w:spacing w:val="-9"/>
        </w:rPr>
        <w:t xml:space="preserve"> </w:t>
      </w:r>
      <w:r>
        <w:t>how</w:t>
      </w:r>
      <w:r>
        <w:rPr>
          <w:spacing w:val="-7"/>
        </w:rPr>
        <w:t xml:space="preserve"> </w:t>
      </w:r>
      <w:r>
        <w:t>corporations</w:t>
      </w:r>
      <w:r>
        <w:rPr>
          <w:spacing w:val="-8"/>
        </w:rPr>
        <w:t xml:space="preserve"> </w:t>
      </w:r>
      <w:r>
        <w:t>finance</w:t>
      </w:r>
      <w:r>
        <w:rPr>
          <w:spacing w:val="-10"/>
        </w:rPr>
        <w:t xml:space="preserve"> </w:t>
      </w:r>
      <w:r>
        <w:t>biodiversity</w:t>
      </w:r>
      <w:r>
        <w:rPr>
          <w:spacing w:val="-9"/>
        </w:rPr>
        <w:t xml:space="preserve"> </w:t>
      </w:r>
      <w:r>
        <w:t>strategies</w:t>
      </w:r>
      <w:r>
        <w:rPr>
          <w:spacing w:val="-8"/>
        </w:rPr>
        <w:t xml:space="preserve"> </w:t>
      </w:r>
      <w:r>
        <w:t>is</w:t>
      </w:r>
      <w:r>
        <w:rPr>
          <w:spacing w:val="-8"/>
        </w:rPr>
        <w:t xml:space="preserve"> </w:t>
      </w:r>
      <w:r>
        <w:t>important</w:t>
      </w:r>
      <w:r>
        <w:rPr>
          <w:spacing w:val="-8"/>
        </w:rPr>
        <w:t xml:space="preserve"> </w:t>
      </w:r>
      <w:r>
        <w:t>for</w:t>
      </w:r>
      <w:r>
        <w:rPr>
          <w:spacing w:val="-11"/>
        </w:rPr>
        <w:t xml:space="preserve"> </w:t>
      </w:r>
      <w:r>
        <w:t>several reasons.</w:t>
      </w:r>
      <w:r>
        <w:rPr>
          <w:spacing w:val="-7"/>
        </w:rPr>
        <w:t xml:space="preserve"> </w:t>
      </w:r>
      <w:r>
        <w:t>It</w:t>
      </w:r>
      <w:r>
        <w:rPr>
          <w:spacing w:val="-9"/>
        </w:rPr>
        <w:t xml:space="preserve"> </w:t>
      </w:r>
      <w:r>
        <w:t>helps</w:t>
      </w:r>
      <w:r>
        <w:rPr>
          <w:spacing w:val="-8"/>
        </w:rPr>
        <w:t xml:space="preserve"> </w:t>
      </w:r>
      <w:r>
        <w:t>to</w:t>
      </w:r>
      <w:r>
        <w:rPr>
          <w:spacing w:val="-8"/>
        </w:rPr>
        <w:t xml:space="preserve"> </w:t>
      </w:r>
      <w:r>
        <w:t>reveal</w:t>
      </w:r>
      <w:r>
        <w:rPr>
          <w:spacing w:val="-7"/>
        </w:rPr>
        <w:t xml:space="preserve"> </w:t>
      </w:r>
      <w:r>
        <w:t>how</w:t>
      </w:r>
      <w:r>
        <w:rPr>
          <w:spacing w:val="-9"/>
        </w:rPr>
        <w:t xml:space="preserve"> </w:t>
      </w:r>
      <w:r>
        <w:t>firms</w:t>
      </w:r>
      <w:r>
        <w:rPr>
          <w:spacing w:val="-9"/>
        </w:rPr>
        <w:t xml:space="preserve"> </w:t>
      </w:r>
      <w:r>
        <w:t>navigate</w:t>
      </w:r>
      <w:r>
        <w:rPr>
          <w:spacing w:val="-10"/>
        </w:rPr>
        <w:t xml:space="preserve"> </w:t>
      </w:r>
      <w:r>
        <w:t>the</w:t>
      </w:r>
      <w:r>
        <w:rPr>
          <w:spacing w:val="-10"/>
        </w:rPr>
        <w:t xml:space="preserve"> </w:t>
      </w:r>
      <w:r>
        <w:t>absence</w:t>
      </w:r>
      <w:r>
        <w:rPr>
          <w:spacing w:val="-10"/>
        </w:rPr>
        <w:t xml:space="preserve"> </w:t>
      </w:r>
      <w:r>
        <w:t>of</w:t>
      </w:r>
      <w:r>
        <w:rPr>
          <w:spacing w:val="-8"/>
        </w:rPr>
        <w:t xml:space="preserve"> </w:t>
      </w:r>
      <w:r>
        <w:t>clear</w:t>
      </w:r>
      <w:r>
        <w:rPr>
          <w:spacing w:val="-7"/>
        </w:rPr>
        <w:t xml:space="preserve"> </w:t>
      </w:r>
      <w:r>
        <w:t>economic</w:t>
      </w:r>
      <w:r>
        <w:rPr>
          <w:spacing w:val="-8"/>
        </w:rPr>
        <w:t xml:space="preserve"> </w:t>
      </w:r>
      <w:r>
        <w:t>incentives,</w:t>
      </w:r>
      <w:r>
        <w:rPr>
          <w:spacing w:val="-8"/>
        </w:rPr>
        <w:t xml:space="preserve"> </w:t>
      </w:r>
      <w:r>
        <w:t>signals the level of organisational commitment to biodiversity, and clarifies how financial structures influence the allocation of resources. It also demonstrates how time horizons and risk perceptions affect decisions to invest in or manage biodiversity</w:t>
      </w:r>
      <w:r>
        <w:rPr>
          <w:spacing w:val="-2"/>
        </w:rPr>
        <w:t xml:space="preserve"> </w:t>
      </w:r>
      <w:r>
        <w:t>initiatives.</w:t>
      </w:r>
    </w:p>
    <w:p w14:paraId="402C35FA" w14:textId="77777777" w:rsidR="00A61033" w:rsidRDefault="00A61033">
      <w:pPr>
        <w:pStyle w:val="BodyText"/>
        <w:spacing w:before="5"/>
      </w:pPr>
    </w:p>
    <w:p w14:paraId="7B1F7BA1" w14:textId="77777777" w:rsidR="00A61033" w:rsidRDefault="00000000">
      <w:pPr>
        <w:pStyle w:val="BodyText"/>
        <w:spacing w:before="1"/>
        <w:ind w:left="100" w:right="117" w:firstLine="707"/>
        <w:jc w:val="both"/>
      </w:pPr>
      <w:r>
        <w:t>To</w:t>
      </w:r>
      <w:r>
        <w:rPr>
          <w:spacing w:val="-6"/>
        </w:rPr>
        <w:t xml:space="preserve"> </w:t>
      </w:r>
      <w:r>
        <w:t>explore</w:t>
      </w:r>
      <w:r>
        <w:rPr>
          <w:spacing w:val="-4"/>
        </w:rPr>
        <w:t xml:space="preserve"> </w:t>
      </w:r>
      <w:r>
        <w:t>these</w:t>
      </w:r>
      <w:r>
        <w:rPr>
          <w:spacing w:val="-4"/>
        </w:rPr>
        <w:t xml:space="preserve"> </w:t>
      </w:r>
      <w:r>
        <w:t>questions,</w:t>
      </w:r>
      <w:r>
        <w:rPr>
          <w:spacing w:val="-5"/>
        </w:rPr>
        <w:t xml:space="preserve"> </w:t>
      </w:r>
      <w:r>
        <w:t>this</w:t>
      </w:r>
      <w:r>
        <w:rPr>
          <w:spacing w:val="-5"/>
        </w:rPr>
        <w:t xml:space="preserve"> </w:t>
      </w:r>
      <w:r>
        <w:t>study</w:t>
      </w:r>
      <w:r>
        <w:rPr>
          <w:spacing w:val="-6"/>
        </w:rPr>
        <w:t xml:space="preserve"> </w:t>
      </w:r>
      <w:r>
        <w:t>examined</w:t>
      </w:r>
      <w:r>
        <w:rPr>
          <w:spacing w:val="-3"/>
        </w:rPr>
        <w:t xml:space="preserve"> </w:t>
      </w:r>
      <w:r>
        <w:t>a</w:t>
      </w:r>
      <w:r>
        <w:rPr>
          <w:spacing w:val="-4"/>
        </w:rPr>
        <w:t xml:space="preserve"> </w:t>
      </w:r>
      <w:r>
        <w:t>group</w:t>
      </w:r>
      <w:r>
        <w:rPr>
          <w:spacing w:val="-6"/>
        </w:rPr>
        <w:t xml:space="preserve"> </w:t>
      </w:r>
      <w:r>
        <w:t>of</w:t>
      </w:r>
      <w:r>
        <w:rPr>
          <w:spacing w:val="-4"/>
        </w:rPr>
        <w:t xml:space="preserve"> </w:t>
      </w:r>
      <w:r>
        <w:t>European</w:t>
      </w:r>
      <w:r>
        <w:rPr>
          <w:spacing w:val="-5"/>
        </w:rPr>
        <w:t xml:space="preserve"> </w:t>
      </w:r>
      <w:r>
        <w:t>stock-listed</w:t>
      </w:r>
      <w:r>
        <w:rPr>
          <w:spacing w:val="-7"/>
        </w:rPr>
        <w:t xml:space="preserve"> </w:t>
      </w:r>
      <w:r>
        <w:t>firms operating</w:t>
      </w:r>
      <w:r>
        <w:rPr>
          <w:spacing w:val="-17"/>
        </w:rPr>
        <w:t xml:space="preserve"> </w:t>
      </w:r>
      <w:r>
        <w:t>in</w:t>
      </w:r>
      <w:r>
        <w:rPr>
          <w:spacing w:val="-15"/>
        </w:rPr>
        <w:t xml:space="preserve"> </w:t>
      </w:r>
      <w:r>
        <w:t>sectors</w:t>
      </w:r>
      <w:r>
        <w:rPr>
          <w:spacing w:val="-16"/>
        </w:rPr>
        <w:t xml:space="preserve"> </w:t>
      </w:r>
      <w:r>
        <w:t>with</w:t>
      </w:r>
      <w:r>
        <w:rPr>
          <w:spacing w:val="-13"/>
        </w:rPr>
        <w:t xml:space="preserve"> </w:t>
      </w:r>
      <w:r>
        <w:t>high</w:t>
      </w:r>
      <w:r>
        <w:rPr>
          <w:spacing w:val="-15"/>
        </w:rPr>
        <w:t xml:space="preserve"> </w:t>
      </w:r>
      <w:r>
        <w:t>biodiversity</w:t>
      </w:r>
      <w:r>
        <w:rPr>
          <w:spacing w:val="-15"/>
        </w:rPr>
        <w:t xml:space="preserve"> </w:t>
      </w:r>
      <w:r>
        <w:t>relevance,</w:t>
      </w:r>
      <w:r>
        <w:rPr>
          <w:spacing w:val="-16"/>
        </w:rPr>
        <w:t xml:space="preserve"> </w:t>
      </w:r>
      <w:r>
        <w:t>including</w:t>
      </w:r>
      <w:r>
        <w:rPr>
          <w:spacing w:val="-15"/>
        </w:rPr>
        <w:t xml:space="preserve"> </w:t>
      </w:r>
      <w:r>
        <w:t>agrifood,</w:t>
      </w:r>
      <w:r>
        <w:rPr>
          <w:spacing w:val="-13"/>
        </w:rPr>
        <w:t xml:space="preserve"> </w:t>
      </w:r>
      <w:r>
        <w:t>energy,</w:t>
      </w:r>
      <w:r>
        <w:rPr>
          <w:spacing w:val="-17"/>
        </w:rPr>
        <w:t xml:space="preserve"> </w:t>
      </w:r>
      <w:r>
        <w:t>and</w:t>
      </w:r>
      <w:r>
        <w:rPr>
          <w:spacing w:val="-14"/>
        </w:rPr>
        <w:t xml:space="preserve"> </w:t>
      </w:r>
      <w:r>
        <w:t>materials. The analysis combined interviews with finance, strategy, and sustainability professionals, corporate</w:t>
      </w:r>
      <w:r>
        <w:rPr>
          <w:spacing w:val="17"/>
        </w:rPr>
        <w:t xml:space="preserve"> </w:t>
      </w:r>
      <w:r>
        <w:t>document</w:t>
      </w:r>
      <w:r>
        <w:rPr>
          <w:spacing w:val="19"/>
        </w:rPr>
        <w:t xml:space="preserve"> </w:t>
      </w:r>
      <w:r>
        <w:t>reviews,</w:t>
      </w:r>
      <w:r>
        <w:rPr>
          <w:spacing w:val="17"/>
        </w:rPr>
        <w:t xml:space="preserve"> </w:t>
      </w:r>
      <w:r>
        <w:t>and</w:t>
      </w:r>
      <w:r>
        <w:rPr>
          <w:spacing w:val="21"/>
        </w:rPr>
        <w:t xml:space="preserve"> </w:t>
      </w:r>
      <w:r>
        <w:t>expert</w:t>
      </w:r>
      <w:r>
        <w:rPr>
          <w:spacing w:val="17"/>
        </w:rPr>
        <w:t xml:space="preserve"> </w:t>
      </w:r>
      <w:r>
        <w:t>consultations.</w:t>
      </w:r>
      <w:r>
        <w:rPr>
          <w:spacing w:val="19"/>
        </w:rPr>
        <w:t xml:space="preserve"> </w:t>
      </w:r>
      <w:r>
        <w:t>This</w:t>
      </w:r>
      <w:r>
        <w:rPr>
          <w:spacing w:val="18"/>
        </w:rPr>
        <w:t xml:space="preserve"> </w:t>
      </w:r>
      <w:r>
        <w:t>multi-method</w:t>
      </w:r>
      <w:r>
        <w:rPr>
          <w:spacing w:val="19"/>
        </w:rPr>
        <w:t xml:space="preserve"> </w:t>
      </w:r>
      <w:r>
        <w:t>approach</w:t>
      </w:r>
      <w:r>
        <w:rPr>
          <w:spacing w:val="21"/>
        </w:rPr>
        <w:t xml:space="preserve"> </w:t>
      </w:r>
      <w:r>
        <w:t>allowed</w:t>
      </w:r>
    </w:p>
    <w:p w14:paraId="01D6B818" w14:textId="77777777" w:rsidR="00A61033" w:rsidRDefault="00A61033">
      <w:pPr>
        <w:jc w:val="both"/>
        <w:sectPr w:rsidR="00A61033">
          <w:type w:val="continuous"/>
          <w:pgSz w:w="11910" w:h="16840"/>
          <w:pgMar w:top="1360" w:right="1320" w:bottom="280" w:left="1340" w:header="720" w:footer="720" w:gutter="0"/>
          <w:cols w:space="720"/>
        </w:sectPr>
      </w:pPr>
    </w:p>
    <w:p w14:paraId="256113B6" w14:textId="77777777" w:rsidR="00A61033" w:rsidRDefault="00000000">
      <w:pPr>
        <w:pStyle w:val="BodyText"/>
        <w:spacing w:before="60"/>
        <w:ind w:left="100"/>
      </w:pPr>
      <w:r>
        <w:lastRenderedPageBreak/>
        <w:t>for a detailed understanding of both the strategic intent and the financing practices that shape biodiversity engagement.</w:t>
      </w:r>
    </w:p>
    <w:p w14:paraId="183E004B" w14:textId="77777777" w:rsidR="00A61033" w:rsidRDefault="00A61033">
      <w:pPr>
        <w:pStyle w:val="BodyText"/>
        <w:spacing w:before="6"/>
      </w:pPr>
    </w:p>
    <w:p w14:paraId="1D9DF931" w14:textId="77777777" w:rsidR="00A61033" w:rsidRDefault="00000000">
      <w:pPr>
        <w:pStyle w:val="BodyText"/>
        <w:ind w:left="100" w:right="116" w:firstLine="707"/>
        <w:jc w:val="both"/>
      </w:pPr>
      <w:r>
        <w:t>Findings show that many corporate biodiversity initiatives remain trapped in what can be described as “pilot lock-in.” Companies often launch small experimental projects to signal commitment or comply with emerging regulations, but few of these projects progress beyond the pilot stage. This stagnation results not from an absolute lack of available funds, but from weak strategic alignment and fragmented financial structures. Short-term financial expectations</w:t>
      </w:r>
      <w:r>
        <w:rPr>
          <w:spacing w:val="-11"/>
        </w:rPr>
        <w:t xml:space="preserve"> </w:t>
      </w:r>
      <w:r>
        <w:t>limit</w:t>
      </w:r>
      <w:r>
        <w:rPr>
          <w:spacing w:val="-11"/>
        </w:rPr>
        <w:t xml:space="preserve"> </w:t>
      </w:r>
      <w:r>
        <w:t>the</w:t>
      </w:r>
      <w:r>
        <w:rPr>
          <w:spacing w:val="-11"/>
        </w:rPr>
        <w:t xml:space="preserve"> </w:t>
      </w:r>
      <w:r>
        <w:t>scope</w:t>
      </w:r>
      <w:r>
        <w:rPr>
          <w:spacing w:val="-12"/>
        </w:rPr>
        <w:t xml:space="preserve"> </w:t>
      </w:r>
      <w:r>
        <w:t>of</w:t>
      </w:r>
      <w:r>
        <w:rPr>
          <w:spacing w:val="-12"/>
        </w:rPr>
        <w:t xml:space="preserve"> </w:t>
      </w:r>
      <w:r>
        <w:t>investment,</w:t>
      </w:r>
      <w:r>
        <w:rPr>
          <w:spacing w:val="-10"/>
        </w:rPr>
        <w:t xml:space="preserve"> </w:t>
      </w:r>
      <w:r>
        <w:t>and</w:t>
      </w:r>
      <w:r>
        <w:rPr>
          <w:spacing w:val="-9"/>
        </w:rPr>
        <w:t xml:space="preserve"> </w:t>
      </w:r>
      <w:r>
        <w:t>biodiversity</w:t>
      </w:r>
      <w:r>
        <w:rPr>
          <w:spacing w:val="-11"/>
        </w:rPr>
        <w:t xml:space="preserve"> </w:t>
      </w:r>
      <w:r>
        <w:t>remains</w:t>
      </w:r>
      <w:r>
        <w:rPr>
          <w:spacing w:val="-10"/>
        </w:rPr>
        <w:t xml:space="preserve"> </w:t>
      </w:r>
      <w:r>
        <w:t>marginal</w:t>
      </w:r>
      <w:r>
        <w:rPr>
          <w:spacing w:val="-11"/>
        </w:rPr>
        <w:t xml:space="preserve"> </w:t>
      </w:r>
      <w:r>
        <w:t>to</w:t>
      </w:r>
      <w:r>
        <w:rPr>
          <w:spacing w:val="-11"/>
        </w:rPr>
        <w:t xml:space="preserve"> </w:t>
      </w:r>
      <w:r>
        <w:t>core</w:t>
      </w:r>
      <w:r>
        <w:rPr>
          <w:spacing w:val="-9"/>
        </w:rPr>
        <w:t xml:space="preserve"> </w:t>
      </w:r>
      <w:r>
        <w:t>corporate budgets. Consequently, most firms display symbolic engagement rather than systemic integration of biodiversity into strategic and financial</w:t>
      </w:r>
      <w:r>
        <w:rPr>
          <w:spacing w:val="-3"/>
        </w:rPr>
        <w:t xml:space="preserve"> </w:t>
      </w:r>
      <w:r>
        <w:t>planning.</w:t>
      </w:r>
    </w:p>
    <w:p w14:paraId="506D8C44" w14:textId="77777777" w:rsidR="00A61033" w:rsidRDefault="00A61033">
      <w:pPr>
        <w:pStyle w:val="BodyText"/>
        <w:spacing w:before="2"/>
      </w:pPr>
    </w:p>
    <w:p w14:paraId="15AAE0C7" w14:textId="77777777" w:rsidR="00A61033" w:rsidRDefault="00000000">
      <w:pPr>
        <w:pStyle w:val="BodyText"/>
        <w:ind w:left="100" w:right="113" w:firstLine="707"/>
        <w:jc w:val="both"/>
      </w:pPr>
      <w:r>
        <w:t>The</w:t>
      </w:r>
      <w:r>
        <w:rPr>
          <w:spacing w:val="-10"/>
        </w:rPr>
        <w:t xml:space="preserve"> </w:t>
      </w:r>
      <w:r>
        <w:t>study</w:t>
      </w:r>
      <w:r>
        <w:rPr>
          <w:spacing w:val="-8"/>
        </w:rPr>
        <w:t xml:space="preserve"> </w:t>
      </w:r>
      <w:r>
        <w:t>makes</w:t>
      </w:r>
      <w:r>
        <w:rPr>
          <w:spacing w:val="-7"/>
        </w:rPr>
        <w:t xml:space="preserve"> </w:t>
      </w:r>
      <w:r>
        <w:t>three</w:t>
      </w:r>
      <w:r>
        <w:rPr>
          <w:spacing w:val="-10"/>
        </w:rPr>
        <w:t xml:space="preserve"> </w:t>
      </w:r>
      <w:r>
        <w:t>main</w:t>
      </w:r>
      <w:r>
        <w:rPr>
          <w:spacing w:val="-7"/>
        </w:rPr>
        <w:t xml:space="preserve"> </w:t>
      </w:r>
      <w:r>
        <w:t>contributions.</w:t>
      </w:r>
      <w:r>
        <w:rPr>
          <w:spacing w:val="-8"/>
        </w:rPr>
        <w:t xml:space="preserve"> </w:t>
      </w:r>
      <w:r>
        <w:t>First,</w:t>
      </w:r>
      <w:r>
        <w:rPr>
          <w:spacing w:val="-7"/>
        </w:rPr>
        <w:t xml:space="preserve"> </w:t>
      </w:r>
      <w:r>
        <w:t>it</w:t>
      </w:r>
      <w:r>
        <w:rPr>
          <w:spacing w:val="-6"/>
        </w:rPr>
        <w:t xml:space="preserve"> </w:t>
      </w:r>
      <w:r>
        <w:t>explains</w:t>
      </w:r>
      <w:r>
        <w:rPr>
          <w:spacing w:val="-7"/>
        </w:rPr>
        <w:t xml:space="preserve"> </w:t>
      </w:r>
      <w:r>
        <w:t>why</w:t>
      </w:r>
      <w:r>
        <w:rPr>
          <w:spacing w:val="-9"/>
        </w:rPr>
        <w:t xml:space="preserve"> </w:t>
      </w:r>
      <w:r>
        <w:t>biodiversity</w:t>
      </w:r>
      <w:r>
        <w:rPr>
          <w:spacing w:val="-8"/>
        </w:rPr>
        <w:t xml:space="preserve"> </w:t>
      </w:r>
      <w:r>
        <w:t>initiatives struggle to move beyond the pilot phase by introducing the concept of pilot lock-in, which captures the tension between reputational incentives and structural financial constraints. Second, it provides a systemic view of corporate biodiversity engagement, showing that biodiversity remains peripheral when it is not connected to long-term strategic and financial planning. Third, it integrates insights from corporate sustainability and biodiversity finance research, demonstrating that internal capital allocation practices are central to shaping corporate action and interact closely with external investment</w:t>
      </w:r>
      <w:r>
        <w:rPr>
          <w:spacing w:val="-2"/>
        </w:rPr>
        <w:t xml:space="preserve"> </w:t>
      </w:r>
      <w:r>
        <w:t>conditions.</w:t>
      </w:r>
    </w:p>
    <w:p w14:paraId="577DDE20" w14:textId="77777777" w:rsidR="00A61033" w:rsidRDefault="00A61033">
      <w:pPr>
        <w:pStyle w:val="BodyText"/>
        <w:spacing w:before="6"/>
      </w:pPr>
    </w:p>
    <w:p w14:paraId="12BF556F" w14:textId="77777777" w:rsidR="00A61033" w:rsidRDefault="00000000">
      <w:pPr>
        <w:pStyle w:val="BodyText"/>
        <w:ind w:left="100" w:right="116" w:firstLine="707"/>
        <w:jc w:val="both"/>
      </w:pPr>
      <w:r>
        <w:t>Overall,</w:t>
      </w:r>
      <w:r>
        <w:rPr>
          <w:spacing w:val="-9"/>
        </w:rPr>
        <w:t xml:space="preserve"> </w:t>
      </w:r>
      <w:r>
        <w:t>the</w:t>
      </w:r>
      <w:r>
        <w:rPr>
          <w:spacing w:val="-10"/>
        </w:rPr>
        <w:t xml:space="preserve"> </w:t>
      </w:r>
      <w:r>
        <w:t>study</w:t>
      </w:r>
      <w:r>
        <w:rPr>
          <w:spacing w:val="-5"/>
        </w:rPr>
        <w:t xml:space="preserve"> </w:t>
      </w:r>
      <w:r>
        <w:t>concludes</w:t>
      </w:r>
      <w:r>
        <w:rPr>
          <w:spacing w:val="-8"/>
        </w:rPr>
        <w:t xml:space="preserve"> </w:t>
      </w:r>
      <w:r>
        <w:t>that</w:t>
      </w:r>
      <w:r>
        <w:rPr>
          <w:spacing w:val="-5"/>
        </w:rPr>
        <w:t xml:space="preserve"> </w:t>
      </w:r>
      <w:r>
        <w:t>corporations,</w:t>
      </w:r>
      <w:r>
        <w:rPr>
          <w:spacing w:val="-8"/>
        </w:rPr>
        <w:t xml:space="preserve"> </w:t>
      </w:r>
      <w:r>
        <w:t>under</w:t>
      </w:r>
      <w:r>
        <w:rPr>
          <w:spacing w:val="-6"/>
        </w:rPr>
        <w:t xml:space="preserve"> </w:t>
      </w:r>
      <w:r>
        <w:t>current</w:t>
      </w:r>
      <w:r>
        <w:rPr>
          <w:spacing w:val="-8"/>
        </w:rPr>
        <w:t xml:space="preserve"> </w:t>
      </w:r>
      <w:r>
        <w:t>conditions,</w:t>
      </w:r>
      <w:r>
        <w:rPr>
          <w:spacing w:val="-7"/>
        </w:rPr>
        <w:t xml:space="preserve"> </w:t>
      </w:r>
      <w:r>
        <w:t>are</w:t>
      </w:r>
      <w:r>
        <w:rPr>
          <w:spacing w:val="-10"/>
        </w:rPr>
        <w:t xml:space="preserve"> </w:t>
      </w:r>
      <w:r>
        <w:t>unlikely</w:t>
      </w:r>
      <w:r>
        <w:rPr>
          <w:spacing w:val="-7"/>
        </w:rPr>
        <w:t xml:space="preserve"> </w:t>
      </w:r>
      <w:r>
        <w:t xml:space="preserve">to deliver biodiversity outcomes at the scale required to halt or reverse ecological decline. The main constraint lies not in the total availability of capital, but in </w:t>
      </w:r>
      <w:r>
        <w:rPr>
          <w:spacing w:val="2"/>
        </w:rPr>
        <w:t xml:space="preserve">the </w:t>
      </w:r>
      <w:r>
        <w:t>difficulty of directing it toward biodiversity within conventional financial logic. Biodiversity also competes with climate</w:t>
      </w:r>
      <w:r>
        <w:rPr>
          <w:spacing w:val="-17"/>
        </w:rPr>
        <w:t xml:space="preserve"> </w:t>
      </w:r>
      <w:r>
        <w:t>priorities</w:t>
      </w:r>
      <w:r>
        <w:rPr>
          <w:spacing w:val="-16"/>
        </w:rPr>
        <w:t xml:space="preserve"> </w:t>
      </w:r>
      <w:r>
        <w:t>that</w:t>
      </w:r>
      <w:r>
        <w:rPr>
          <w:spacing w:val="-16"/>
        </w:rPr>
        <w:t xml:space="preserve"> </w:t>
      </w:r>
      <w:r>
        <w:t>attract</w:t>
      </w:r>
      <w:r>
        <w:rPr>
          <w:spacing w:val="-15"/>
        </w:rPr>
        <w:t xml:space="preserve"> </w:t>
      </w:r>
      <w:r>
        <w:t>most</w:t>
      </w:r>
      <w:r>
        <w:rPr>
          <w:spacing w:val="-15"/>
        </w:rPr>
        <w:t xml:space="preserve"> </w:t>
      </w:r>
      <w:r>
        <w:t>resources</w:t>
      </w:r>
      <w:r>
        <w:rPr>
          <w:spacing w:val="-15"/>
        </w:rPr>
        <w:t xml:space="preserve"> </w:t>
      </w:r>
      <w:r>
        <w:t>and</w:t>
      </w:r>
      <w:r>
        <w:rPr>
          <w:spacing w:val="-16"/>
        </w:rPr>
        <w:t xml:space="preserve"> </w:t>
      </w:r>
      <w:r>
        <w:t>investor</w:t>
      </w:r>
      <w:r>
        <w:rPr>
          <w:spacing w:val="-16"/>
        </w:rPr>
        <w:t xml:space="preserve"> </w:t>
      </w:r>
      <w:r>
        <w:t>attention.</w:t>
      </w:r>
      <w:r>
        <w:rPr>
          <w:spacing w:val="-16"/>
        </w:rPr>
        <w:t xml:space="preserve"> </w:t>
      </w:r>
      <w:r>
        <w:t>To</w:t>
      </w:r>
      <w:r>
        <w:rPr>
          <w:spacing w:val="-16"/>
        </w:rPr>
        <w:t xml:space="preserve"> </w:t>
      </w:r>
      <w:r>
        <w:t>address</w:t>
      </w:r>
      <w:r>
        <w:rPr>
          <w:spacing w:val="-14"/>
        </w:rPr>
        <w:t xml:space="preserve"> </w:t>
      </w:r>
      <w:r>
        <w:t>these</w:t>
      </w:r>
      <w:r>
        <w:rPr>
          <w:spacing w:val="-17"/>
        </w:rPr>
        <w:t xml:space="preserve"> </w:t>
      </w:r>
      <w:r>
        <w:t>challenges, firms need to embed biodiversity into financial and operational systems, treat it as a strategic dimension</w:t>
      </w:r>
      <w:r>
        <w:rPr>
          <w:spacing w:val="-13"/>
        </w:rPr>
        <w:t xml:space="preserve"> </w:t>
      </w:r>
      <w:r>
        <w:t>of</w:t>
      </w:r>
      <w:r>
        <w:rPr>
          <w:spacing w:val="-14"/>
        </w:rPr>
        <w:t xml:space="preserve"> </w:t>
      </w:r>
      <w:r>
        <w:t>business</w:t>
      </w:r>
      <w:r>
        <w:rPr>
          <w:spacing w:val="-12"/>
        </w:rPr>
        <w:t xml:space="preserve"> </w:t>
      </w:r>
      <w:r>
        <w:t>resilience,</w:t>
      </w:r>
      <w:r>
        <w:rPr>
          <w:spacing w:val="-13"/>
        </w:rPr>
        <w:t xml:space="preserve"> </w:t>
      </w:r>
      <w:r>
        <w:t>and</w:t>
      </w:r>
      <w:r>
        <w:rPr>
          <w:spacing w:val="-10"/>
        </w:rPr>
        <w:t xml:space="preserve"> </w:t>
      </w:r>
      <w:r>
        <w:t>collaborate</w:t>
      </w:r>
      <w:r>
        <w:rPr>
          <w:spacing w:val="-14"/>
        </w:rPr>
        <w:t xml:space="preserve"> </w:t>
      </w:r>
      <w:r>
        <w:t>more</w:t>
      </w:r>
      <w:r>
        <w:rPr>
          <w:spacing w:val="-15"/>
        </w:rPr>
        <w:t xml:space="preserve"> </w:t>
      </w:r>
      <w:r>
        <w:t>effectively</w:t>
      </w:r>
      <w:r>
        <w:rPr>
          <w:spacing w:val="-12"/>
        </w:rPr>
        <w:t xml:space="preserve"> </w:t>
      </w:r>
      <w:r>
        <w:t>with</w:t>
      </w:r>
      <w:r>
        <w:rPr>
          <w:spacing w:val="-13"/>
        </w:rPr>
        <w:t xml:space="preserve"> </w:t>
      </w:r>
      <w:r>
        <w:t>stakeholders,</w:t>
      </w:r>
      <w:r>
        <w:rPr>
          <w:spacing w:val="-12"/>
        </w:rPr>
        <w:t xml:space="preserve"> </w:t>
      </w:r>
      <w:r>
        <w:t>investors, and regulators. Transformative progress will require financial actors who are ambitious about driving ecological change while patient regarding financial returns. Moving beyond a narrow business-case logic towards a systems-oriented understanding of the interdependence</w:t>
      </w:r>
      <w:r>
        <w:rPr>
          <w:spacing w:val="-34"/>
        </w:rPr>
        <w:t xml:space="preserve"> </w:t>
      </w:r>
      <w:r>
        <w:t>between business and nature is essential for achieving lasting biodiversity outcomes and supporting sustainable economic</w:t>
      </w:r>
      <w:r>
        <w:rPr>
          <w:spacing w:val="-3"/>
        </w:rPr>
        <w:t xml:space="preserve"> </w:t>
      </w:r>
      <w:r>
        <w:t>transitions.</w:t>
      </w:r>
    </w:p>
    <w:sectPr w:rsidR="00A61033">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61033"/>
    <w:rsid w:val="006D686C"/>
    <w:rsid w:val="00837F41"/>
    <w:rsid w:val="00A61033"/>
    <w:rsid w:val="00DE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AFEE"/>
  <w15:docId w15:val="{6E46B1E6-59E6-455C-9206-E65D0BB3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eastAsia="nl-NL"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E496-22A9-4F16-B046-63EB705F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5528</Characters>
  <Application>Microsoft Office Word</Application>
  <DocSecurity>0</DocSecurity>
  <Lines>108</Lines>
  <Paragraphs>41</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S.M.A. (Sophie)</dc:creator>
  <cp:lastModifiedBy>Branzei, Oana</cp:lastModifiedBy>
  <cp:revision>3</cp:revision>
  <dcterms:created xsi:type="dcterms:W3CDTF">2025-11-02T23:19:00Z</dcterms:created>
  <dcterms:modified xsi:type="dcterms:W3CDTF">2025-11-03T03:31:00Z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2025-11-02T00:00:00Z</vt:filetime>
  </property>
  <property fmtid="{D5CDD505-2E9C-101B-9397-08002B2CF9AE}" pid="5" name="MSIP_Label_9e804de9-5306-4a8f-920e-16c68d5498ba_Enabled">
    <vt:lpwstr>true</vt:lpwstr>
  </property>
  <property fmtid="{D5CDD505-2E9C-101B-9397-08002B2CF9AE}" pid="6" name="MSIP_Label_9e804de9-5306-4a8f-920e-16c68d5498ba_SetDate">
    <vt:lpwstr>2025-11-02T23:20:04Z</vt:lpwstr>
  </property>
  <property fmtid="{D5CDD505-2E9C-101B-9397-08002B2CF9AE}" pid="7" name="MSIP_Label_9e804de9-5306-4a8f-920e-16c68d5498ba_Method">
    <vt:lpwstr>Standard</vt:lpwstr>
  </property>
  <property fmtid="{D5CDD505-2E9C-101B-9397-08002B2CF9AE}" pid="8" name="MSIP_Label_9e804de9-5306-4a8f-920e-16c68d5498ba_Name">
    <vt:lpwstr>Public</vt:lpwstr>
  </property>
  <property fmtid="{D5CDD505-2E9C-101B-9397-08002B2CF9AE}" pid="9" name="MSIP_Label_9e804de9-5306-4a8f-920e-16c68d5498ba_SiteId">
    <vt:lpwstr>547040db-1855-4320-9738-e6878f6271fc</vt:lpwstr>
  </property>
  <property fmtid="{D5CDD505-2E9C-101B-9397-08002B2CF9AE}" pid="10" name="MSIP_Label_9e804de9-5306-4a8f-920e-16c68d5498ba_ActionId">
    <vt:lpwstr>f24139d2-b8d1-4557-8800-9c1b58cc78ae</vt:lpwstr>
  </property>
  <property fmtid="{D5CDD505-2E9C-101B-9397-08002B2CF9AE}" pid="11" name="MSIP_Label_9e804de9-5306-4a8f-920e-16c68d5498ba_ContentBits">
    <vt:lpwstr>0</vt:lpwstr>
  </property>
  <property fmtid="{D5CDD505-2E9C-101B-9397-08002B2CF9AE}" pid="12" name="MSIP_Label_9e804de9-5306-4a8f-920e-16c68d5498ba_Tag">
    <vt:lpwstr>10, 3, 0, 1</vt:lpwstr>
  </property>
</Properties>
</file>