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4E0A" w14:textId="575F0B03" w:rsidR="001743C9" w:rsidRPr="001743C9" w:rsidRDefault="001743C9" w:rsidP="001743C9">
      <w:pPr>
        <w:jc w:val="center"/>
        <w:rPr>
          <w:b/>
          <w:bCs/>
          <w:lang w:val="en-CA"/>
        </w:rPr>
      </w:pPr>
      <w:r w:rsidRPr="001743C9">
        <w:rPr>
          <w:b/>
          <w:bCs/>
          <w:lang w:val="en-CA"/>
        </w:rPr>
        <w:t>Pretending the Mine Won’t Close:</w:t>
      </w:r>
    </w:p>
    <w:p w14:paraId="625957A4" w14:textId="37E435D7" w:rsidR="001743C9" w:rsidRPr="001743C9" w:rsidRDefault="001743C9" w:rsidP="001743C9">
      <w:pPr>
        <w:jc w:val="center"/>
        <w:rPr>
          <w:b/>
          <w:bCs/>
          <w:lang w:val="en-CA"/>
        </w:rPr>
      </w:pPr>
      <w:r w:rsidRPr="001743C9">
        <w:rPr>
          <w:b/>
          <w:bCs/>
          <w:lang w:val="en-CA"/>
        </w:rPr>
        <w:t>How Community Actors Unintentionally Exacerbate Institutional Infrastructure Attrition</w:t>
      </w:r>
    </w:p>
    <w:p w14:paraId="4EDDC3AC" w14:textId="77777777" w:rsidR="001743C9" w:rsidRDefault="001743C9" w:rsidP="00523456">
      <w:pPr>
        <w:ind w:firstLine="720"/>
        <w:rPr>
          <w:lang w:val="en-CA"/>
        </w:rPr>
      </w:pPr>
    </w:p>
    <w:p w14:paraId="2FF6CFDB" w14:textId="48FA8C1B" w:rsidR="00853F78" w:rsidRPr="002A1EAA" w:rsidRDefault="002A1EAA" w:rsidP="00523456">
      <w:pPr>
        <w:ind w:firstLine="720"/>
        <w:rPr>
          <w:lang w:val="en-CA"/>
        </w:rPr>
      </w:pPr>
      <w:r>
        <w:rPr>
          <w:lang w:val="en-CA"/>
        </w:rPr>
        <w:t xml:space="preserve">Changes to institutions are consequential for the actors associated with that institution. </w:t>
      </w:r>
      <w:r w:rsidRPr="009C0399">
        <w:rPr>
          <w:lang w:val="en-CA"/>
        </w:rPr>
        <w:t>Institutions are</w:t>
      </w:r>
      <w:r w:rsidRPr="008E5C9C">
        <w:rPr>
          <w:lang w:val="en-CA"/>
        </w:rPr>
        <w:t xml:space="preserve"> not immutable</w:t>
      </w:r>
      <w:r>
        <w:rPr>
          <w:lang w:val="en-CA"/>
        </w:rPr>
        <w:t xml:space="preserve"> </w:t>
      </w:r>
      <w:r>
        <w:rPr>
          <w:lang w:val="en-CA"/>
        </w:rPr>
        <w:fldChar w:fldCharType="begin" w:fldLock="1"/>
      </w:r>
      <w:r>
        <w:rPr>
          <w:lang w:val="en-CA"/>
        </w:rPr>
        <w:instrText>ADDIN CSL_CITATION {"citationItems":[{"id":"ITEM-1","itemData":{"author":[{"dropping-particle":"","family":"Scott","given":"W. Richard","non-dropping-particle":"","parse-names":false,"suffix":""}],"edition":"4th","id":"ITEM-1","issued":{"date-parts":[["2014"]]},"publisher":"SAGE Publications","publisher-place":"Thousand Oaks, California, United States","title":"Institutions and Organizations","type":"book"},"uris":["http://www.mendeley.com/documents/?uuid=de4ee7b1-011d-411d-96d3-e35331378efb"]},{"id":"ITEM-2","itemData":{"DOI":"10.5465/amr.2014.0183","ISSN":"03637425","abstract":"We examine the role of history in organization studies by theorizing how collectivememory shapes societal institutions and the logics that govern them. We propose that, rather than transhistorical ideal types, societal logics are historically constituted cultural structures generated through the collectivememory of historical events. Wethen develop a theoretical model to explain howthe representation, storage, and retrieval of collectivememory lead to the emergence of societal logics. In turn, societal logics shape memory making and the reproduction and reconstruction of history itself. To illustrate our theory, we discuss the rise of the corporate logic in the United States.We identify two sources of discontinuity that can disrupt this memory-making process and create notable disjunctures in the evolution of societal logics. We conclude by discussing how changes in collective memory and the historical trajectory of societal logics shape organizational forms and practices.","author":[{"dropping-particle":"","family":"Ocasio","given":"William","non-dropping-particle":"","parse-names":false,"suffix":""},{"dropping-particle":"","family":"Mauskapf","given":"Michael","non-dropping-particle":"","parse-names":false,"suffix":""},{"dropping-particle":"","family":"Steele","given":"Christopher W.J.","non-dropping-particle":"","parse-names":false,"suffix":""}],"container-title":"Academy of Management Review","id":"ITEM-2","issue":"4","issued":{"date-parts":[["2016"]]},"note":"What is done: We propose that, rather than transhistorical ideal types, societal logics are historically constituted cultural structures generated through the collective memory of historical events. We then develop a theoretical model to explain how the representation, storage, and retrieval of collective memory lead to the emergence of societal logics. \n\nEvidence(ish - not an empirical article): we discuss the rise of the corporate logic in the United States \n\nQuestion: Is the Idea that logics are hisorically situated a fundamental depature or different way of understanding logics from the way they are disucssin in Thornton et al. 2012? --&amp;gt; in Thornton et al 2012 thes are treated as &amp;quot;out there&amp;quot; but when Ocasio et al are saying is that this is a different way to think about logics than the historical societal level 7 logics \n\n-neverending set of logics? is it really okay or acutally is one idea that there are comparable ways in which logics bubble up to the societal level in recognizable configuarions that any particular case would not fully adhere to but have enough similarieis that you can associate or cluster them \n\n--Is collective memory collected to infrastucture? this is something that hasn't been done but it sounds like it is interesting \n\n--when are societal logics versus field level logice more salient? What is the role or relationship between the two? They are jsut an instiutionalized trick","page":"676-699","title":"History, society, and institutions: The role of collective memory in the emergence and evolution of societal logics","type":"article-journal","volume":"41"},"uris":["http://www.mendeley.com/documents/?uuid=cee7a384-150a-4bde-abb1-eb4665542560"]}],"mendeley":{"formattedCitation":"(Ocasio, Mauskapf, &amp; Steele, 2016; Scott, 2014)","plainTextFormattedCitation":"(Ocasio, Mauskapf, &amp; Steele, 2016; Scott, 2014)","previouslyFormattedCitation":"(Ocasio, Mauskapf, &amp; Steele, 2016; Scott, 2014)"},"properties":{"noteIndex":0},"schema":"https://github.com/citation-style-language/schema/raw/master/csl-citation.json"}</w:instrText>
      </w:r>
      <w:r>
        <w:rPr>
          <w:lang w:val="en-CA"/>
        </w:rPr>
        <w:fldChar w:fldCharType="separate"/>
      </w:r>
      <w:r w:rsidRPr="00853F78">
        <w:rPr>
          <w:noProof/>
          <w:lang w:val="en-CA"/>
        </w:rPr>
        <w:t>(Ocasio, Mauskapf, &amp; Steele, 2016; Scott, 2014)</w:t>
      </w:r>
      <w:r>
        <w:rPr>
          <w:lang w:val="en-CA"/>
        </w:rPr>
        <w:fldChar w:fldCharType="end"/>
      </w:r>
      <w:r>
        <w:rPr>
          <w:lang w:val="en-CA"/>
        </w:rPr>
        <w:t xml:space="preserve"> and scholars have demonstrated that even longstanding institutions decline and may resurge </w:t>
      </w:r>
      <w:r>
        <w:rPr>
          <w:lang w:val="en-CA"/>
        </w:rPr>
        <w:fldChar w:fldCharType="begin" w:fldLock="1"/>
      </w:r>
      <w:r>
        <w:rPr>
          <w:lang w:val="en-CA"/>
        </w:rPr>
        <w:instrText>ADDIN CSL_CITATION {"citationItems":[{"id":"ITEM-1","itemData":{"DOI":"10.5465/amj.2017.1098","ISSN":"0001-4273","abstract":"We examine the role of custodianship in the renewal of the institution of public water services in Detroit, Michigan. Our longitudinal qualitative study begins prior to the 33,000 household water shutoffs of 2014 and follows this ongoing crisis through 2017. It reveals the complexity of the task of renewing neglected societal institutions suffering institutional entropy. We provide an in-depth study of the characteristics, motivations, and actions of institutional custodians-actors who maintain and enhance institutionalized practices. We inductively identify four groups of custodians (operatives, warriors, converts, and agnostics) who are catalyzed to act at different times, take on unique roles, and have distinct understandings of institutional rules. In doing so, we establish that custodianship is both distributed and heterogeneous, rather than static and homogeneous, and highlight key intersections across custodians. Our study also offers timely insights into resource access and affordability in marginalized communities, and the role of institutions in addressing grand challenges such as the emerging global water crisis. Acknowledgements: We are sincerely grateful to Tima Bansal and three anonymous referees who generously guided us in the development of our work. We benefited immensely from the support and insights of Bill Cooper, Jay Handelman, Kathleen O'Hara, and Maxim Voronov as well as members of the Erb Institute at the University of Michigan, the Ontario Qualitative Methods Working Group, and attendees at ONE and OMT sessions of the Academy of Management. We also offer our deepest thanks to the many water warriors who, often bravely, shared their time and passions with us throughout this project.","author":[{"dropping-particle":"","family":"Montgomery","given":"A. Wren","non-dropping-particle":"","parse-names":false,"suffix":""},{"dropping-particle":"","family":"Dacin","given":"M. Tina","non-dropping-particle":"","parse-names":false,"suffix":""}],"container-title":"Academy of Management Journal","id":"ITEM-1","issue":"5","issued":{"date-parts":[["2020","10","1"]]},"note":"Phenomenon: Role of custodianship in the complex task of renewing neglectid societal institutions suffering institutional entropy\n\nRQ:Who are institutional custodians and what evokes custodianship? Also we don't know why they act. \n\nExplanation: There are four groups of custodians, who each act at different times but there are intersections between their acting \n1. operatives - already engaged in the institution (the city/public water), became defenders of public water services\n2. warriors - were already defending the water from pollution ect so became defenders then reinforcers of public water services through their activism\n3. converts - were already engaged in other fights then realized the connections between their fights and water right, becamse reifiers because they told stories and replenishers by calling other resources \n4. agnostics - people who weren't affected by then became on board, they were retoolers \n\nEvidence: The case of renewing public water services in Detroit, Michigan. Longitudinal qualitative study from before 33,000 houses were shut off in 2014 through the ongoing crisis in 2017.\n\nNotes\n-think of institutions not as atemporal but existing until further notice\n-institutions can become so taken for granted that no one maintains them and they disappear\n-one point here is that they are talking about a fundamentally different notion of what an institution is \n\nCustodians: Actors who preserve or enhance institutional spaces --&amp;gt; this concept is Tina's and she introduces it in the SAGE handbook","page":"1455-1484","title":"Water Wars in Detroit: Custodianship and the Work of Institutional Renewal","type":"article-journal","volume":"63"},"uris":["http://www.mendeley.com/documents/?uuid=64a84663-cf74-4ed8-9c1f-b5f1232c70f8"]},{"id":"ITEM-2","itemData":{"DOI":"10.5465/amj.2010.0778","ISSN":"00014273","abstract":"We build theory on the process of collective identity resurrection through a qualitative study investigating how community members reenergized a valued community identity following years of decline. Our findings suggest a recursive model of identity resurrection, in which community leaders marshal tangible resources such as money and human talent to orchestrate experiences and community members authenticate the experiences by judging them resonant with memories and existing identity symbols. This model draws attention to the role of experience and emotion in identity processes, extending theory that has tended to focus narrowly on cognitive aspects of collective identity. We discuss implications for processes of identity reproduction and resurrection in organizational settings, and for interdependencies between community and organizational identities. © 2013 Academy of Management Journal.","author":[{"dropping-particle":"","family":"Howard-Grenville","given":"Jennifer","non-dropping-particle":"","parse-names":false,"suffix":""},{"dropping-particle":"","family":"Metzger","given":"Matthew L.","non-dropping-particle":"","parse-names":false,"suffix":""},{"dropping-particle":"","family":"Meyer","given":"Alan D.","non-dropping-particle":"","parse-names":false,"suffix":""}],"container-title":"Academy of Management Journal","id":"ITEM-2","issue":"1","issued":{"date-parts":[["2013","2"]]},"note":"Phenomenon\n--how community members reenergized a valued community iden- tity following years of decline\n--what happens when a collective identity fades? Can it be resurrected? &amp;quot;identity resurrection following a period of decline remains an undertheorized process&amp;quot; p.114\n--identity decline: &amp;quot;the structurational mechanisms of identity continuity and potential change have broken down. ... Identity decline occurs when identity claims and understanding gradually lose salience, as a result of not being actively assertd or experienced&amp;quot;p. 116 and this differs from identity drift \n\nExplanation\n--recursive model of identity resurrection, in which community leaders marshal tangible resources such as money and human talent to orchestrate experiences and community members authenticate the experiences by judging them resonant with memories and existing identity sym- bols.\n--the role of experience and emotion in identity processes\n--identity custodian: &amp;quot;an actor who focuses attention, invests time, and exert energy in an effort to sustain a collective identity&amp;quot; p. 119\n--a breakdown of leader actions (smith era, ending on p.127) lead to the continued dismantling of the track town identity for the community\n--&amp;quot;our model explains how a collective identity can be reproduced through recursive interactions between tangible resources ..., intangible resources ..., and experiences that are generated when leaders and members leverage these resources&amp;quot; p. 130\n\nEvidence\n--&amp;quot;we gathered data from interviews, observa- tions, and archives that captured historical and contemporary aspects of Eugene’s identity as Track Town&amp;quot; p.114\n\nContributions\n1. process model of collective identity resurrection that can apply to organizations and communities \n2. experience and emotions are central to identity reproduction and resurection \n3. &amp;quot;extend the literature on community influences on organizations and or- ganizing practices, which so far has foregrounded economic (Freeman &amp;amp; Audia, 2006; Romanelli &amp;amp; Khessina, 2005) and social structural (Marquis, 2003) explanations. We argue that a place-based configuration of human inhabitants, experienced emotions, sagas, and symbols can coalesce to trans- form a region into a beloved place steeped in sym- bolic meanings. Closer attention to this aspect of community identity can yield insight into how in- teractions between communities and organizations generate and transform meanings (Marquis &amp;amp; Batti- lana, 2009).&amp;quot; p. 114\n\nNotes \n--&amp;quot;A regional community offers an “extreme case” for building the- ory about identity resurrection (Eisenhardt, 1989) be- cause top-down leadership, a key source of continu- ity and renewal for organizational identities (Whetten, 2006), may be weak or absent in commu- nities (King et al 2010)&amp;quot; p.114\n--&amp;quot;Expriences and emotions &amp;quot;reload&amp;quot; the symbolic memory bank by adding fresh accounts and new memories that become future identity referents&amp;quot; p. 114\n--&amp;quot;popular acceptance of a community’s identity, much like that of an organiza- tion’s identity, depends on achieving some fidelity between the claims of community leaders and the beliefs ofmembers and nonmembers (Dutton &amp;amp; Duke- rich, 1991; Hsu &amp;amp; Hannan, 2005)&amp;quot; p. 115\n--for communities, leaders' actions might be necessary to prevent loss of the salience of an identity \n--track town identity distinctiveness came from community engagement in the sport all the way through via a relational system, and a sustained pattern of events that created a unique track experience and emotional response \n-","page":"113-136","title":"Rekindling the flame: Processes of identity resurrection","type":"article-journal","volume":"56"},"uris":["http://www.mendeley.com/documents/?uuid=da6dbaf9-16bb-4a0b-b55a-a76e8cdff748"]}],"mendeley":{"formattedCitation":"(Howard-Grenville, Metzger, &amp; Meyer, 2013; Montgomery &amp; Dacin, 2020)","plainTextFormattedCitation":"(Howard-Grenville, Metzger, &amp; Meyer, 2013; Montgomery &amp; Dacin, 2020)","previouslyFormattedCitation":"(Howard-Grenville, Metzger, &amp; Meyer, 2013; Montgomery &amp; Dacin, 2020)"},"properties":{"noteIndex":0},"schema":"https://github.com/citation-style-language/schema/raw/master/csl-citation.json"}</w:instrText>
      </w:r>
      <w:r>
        <w:rPr>
          <w:lang w:val="en-CA"/>
        </w:rPr>
        <w:fldChar w:fldCharType="separate"/>
      </w:r>
      <w:r w:rsidRPr="0095644C">
        <w:rPr>
          <w:noProof/>
          <w:lang w:val="en-CA"/>
        </w:rPr>
        <w:t>(Howard-Grenville, Metzger, &amp; Meyer, 2013; Montgomery &amp; Dacin, 2020)</w:t>
      </w:r>
      <w:r>
        <w:rPr>
          <w:lang w:val="en-CA"/>
        </w:rPr>
        <w:fldChar w:fldCharType="end"/>
      </w:r>
      <w:r>
        <w:rPr>
          <w:lang w:val="en-CA"/>
        </w:rPr>
        <w:t xml:space="preserve">. Extant work has outlined how actors have worked towards saving or revitalizing institutions </w:t>
      </w:r>
      <w:r>
        <w:rPr>
          <w:lang w:val="en-CA"/>
        </w:rPr>
        <w:fldChar w:fldCharType="begin" w:fldLock="1"/>
      </w:r>
      <w:r>
        <w:rPr>
          <w:lang w:val="en-CA"/>
        </w:rPr>
        <w:instrText>ADDIN CSL_CITATION {"citationItems":[{"id":"ITEM-1","itemData":{"DOI":"10.5465/amj.2014.0379","ISSN":"0001-4273","author":[{"dropping-particle":"","family":"Simons","given":"Tal","non-dropping-particle":"","parse-names":false,"suffix":""},{"dropping-particle":"","family":"Vermeulen","given":"Patrick A. M.","non-dropping-particle":"","parse-names":false,"suffix":""},{"dropping-particle":"","family":"Knoben","given":"Joris","non-dropping-particle":"","parse-names":false,"suffix":""}],"container-title":"Academy of Management Journal","id":"ITEM-1","issue":"2","issued":{"date-parts":[["2016"]]},"page":"545-578","title":"There Is No Beer Without a Smoke: Community Cohesion and Neighboring Communities ’ Effects on Organizational Resistance To Anti Smoking","type":"article-journal","volume":"59"},"uris":["http://www.mendeley.com/documents/?uuid=092734c6-9aa6-4266-b027-28ddd48c1623"]},{"id":"ITEM-2","itemData":{"DOI":"10.1177/0001839218817520","ISSN":"19303815","abstract":"Through an in-depth, historically embedded study of the craft revolution in Dutch beer brewing that began in the 1970s, we illuminate how organizational fields may experience regenerative change through the reemergence of traditional arrangements. The remarkable resurgence of craft in this context, following the rapid industrialization of the twentieth century that left only industrially produced pilsner in its wake, serves as the basis of our process theory of regenerative institutional change through logic reemergence. The results of our qualitative analysis show that institutional logics that appear dead or decomposed may never truly die, as they leave remnants behind that field actors can rediscover, repurpose, and reuse at later stages. We show how, in the Netherlands, networks of individuals that had access to the remnants of craft brewing were regenerated, in part fueled by increasing exposure to British, Belgian, and German craft brewing, and how these networks ultimately succeeded in reviving traditional prescriptions for beer and brewing, as well as restoring previously abandoned brewery forms and technologies and beer styles. These activities led not only to a sudden proliferation of alternatives to the dominant industrial pilsner but also to fundamental changes in the meaning and organization of beer brewing, as they were associated with the reinvigoration of institutional orders that preceded those of the corporation and the market. Yet we also observe how, on the ground, remnants of traditional craft often needed to be blended with contemporaneous elements from modern industrialism, as well as foreign representations of craft, to facilitate reemergence. We thus argue that regenerative institutional change likely resembles a dualistic process of restoration and transformation.","author":[{"dropping-particle":"","family":"Kroezen","given":"Jochem J.","non-dropping-particle":"","parse-names":false,"suffix":""},{"dropping-particle":"","family":"Heugens","given":"Pursey P. M. A. R.","non-dropping-particle":"","parse-names":false,"suffix":""}],"container-title":"Administrative Science Quarterly","id":"ITEM-2","issue":"4","issued":{"date-parts":[["2019"]]},"note":"Phenomenon: resurgence of logics long after they appear to have died; regenerative institutional change\n\nExplanation: logics leave remenants &amp;quot;that field actors can rediscover, repurpose, and reuse at later stages.&amp;quot; The networks of individuals who were connected to craft brewing were regenerated and it was these networks the revived traditional beer and brewing, brewery forms, technoogy, and beer styles.\n\nRegenerative institutional change is a dualistic process with restoration and transformation. \n\nThree overlaping stages of logic reemergence (all p 990)\n-‘‘Rediscovering a logic’’ refers to regenerative activities contributing to the recollection of remnants of the decomposed logic by regenerating networks of dormant custodians \n-‘‘Refurbishing a logic’’ involves the relegitimation of these remnants through the regeneration of ideational elements \n-‘‘Reincarnating a logic’’ entails reactivating the remnants of the decomposed institutional logic through the regeneration of material elements \n\nEvidence: Historical case study of the craft Dutch beer revolution that began in the 1970s\n\nNotes:\n-the remnants come in three types of traces: texts, memories, and artifacts\n-the remnants are sometimes activated by custodians: when organziational fields are &amp;quot;first experiencing logic decomposition, such custodians may be visible in rela- tively marginalized positions, from which they continue to conserve alternative ideational and/or material logic elements by adhering to traditional organiza- tional forms and practices&amp;quot; -p982 --&amp;gt; it goes on to explain the roles of the custodians in the other phased of logic decomposition\n-my own thought: it seems like the initial brew pubs were really important spaces for the rememerging logic was able to happen, and then PINT is kind of the same thing \n\nQuestion: what is the role of space in this process?","page":"976-1019","title":"What Is Dead May Never Die: Institutional Regeneration through Logic Reemergence in Dutch Beer Brewing","type":"article-journal","volume":"64"},"uris":["http://www.mendeley.com/documents/?uuid=09ff873c-f8da-45d0-a6e4-1ea3d3b6c673"]}],"mendeley":{"formattedCitation":"(Kroezen &amp; Heugens, 2019; Simons, Vermeulen, &amp; Knoben, 2016)","plainTextFormattedCitation":"(Kroezen &amp; Heugens, 2019; Simons, Vermeulen, &amp; Knoben, 2016)","previouslyFormattedCitation":"(Kroezen &amp; Heugens, 2019; Simons, Vermeulen, &amp; Knoben, 2016)"},"properties":{"noteIndex":0},"schema":"https://github.com/citation-style-language/schema/raw/master/csl-citation.json"}</w:instrText>
      </w:r>
      <w:r>
        <w:rPr>
          <w:lang w:val="en-CA"/>
        </w:rPr>
        <w:fldChar w:fldCharType="separate"/>
      </w:r>
      <w:r w:rsidRPr="0095644C">
        <w:rPr>
          <w:noProof/>
          <w:lang w:val="en-CA"/>
        </w:rPr>
        <w:t>(Kroezen &amp; Heugens, 2019; Simons, Vermeulen, &amp; Knoben, 2016)</w:t>
      </w:r>
      <w:r>
        <w:rPr>
          <w:lang w:val="en-CA"/>
        </w:rPr>
        <w:fldChar w:fldCharType="end"/>
      </w:r>
      <w:r>
        <w:rPr>
          <w:lang w:val="en-CA"/>
        </w:rPr>
        <w:t xml:space="preserve">, the argument being that pieces of institutional infrastructure lay around, ready to be reassembled into a supportive structuration that can support the continuation or revival of the institution or creation of new ones </w:t>
      </w:r>
      <w:r>
        <w:rPr>
          <w:lang w:val="en-CA"/>
        </w:rPr>
        <w:fldChar w:fldCharType="begin" w:fldLock="1"/>
      </w:r>
      <w:r>
        <w:rPr>
          <w:lang w:val="en-CA"/>
        </w:rPr>
        <w:instrText>ADDIN CSL_CITATION {"citationItems":[{"id":"ITEM-1","itemData":{"DOI":"10.1093/ser/mwl006","ISSN":"1475-147X","abstract":"Institutionalists commonly invoke exogenous shocks or the transposition of logics across national systems to explain institutional change and new path creation. Using organizational data on American infrastructure industries, this paper shows instead how established institutional paths contain within them possibilities and resources for transformation and off-path organization. Even settled paths are typically littered with flotsam and jetsam - with elements of alternative economic orders and abandoned or partly realized institutional projects. These elements of 'paths not taken' are legacies of constitutional struggles and movements for alternative forms of order whose settlement or defeat help fix the path that triumphed. Moreover, they represent resources for endogenous institutional change, including the revival, reassembly, redeployment and subsequent elaboration of alternative logics within national capitalisms. As the analysis of the US case shows, such legacies underwrote the construction of an entirely different, cooperatively organized path alongside the dominant path of impersonal markets and for-profit corporations. Taken together, these findings generate new leverage for explaining institutional change. They also highlight features of the US case that have been ignored by institutionalist and 'varieties of capitalism' research, including internal structural variety, endogenous change processes, and the co-evolution of cooperative or coordinated and liberal market economies within American capitalism. © 2007 Oxford University Press.","author":[{"dropping-particle":"","family":"Schneiberg","given":"Marc","non-dropping-particle":"","parse-names":false,"suffix":""}],"container-title":"Socio-Economic Review","id":"ITEM-1","issue":"1","issued":{"date-parts":[["2007","1","1"]]},"note":"Phenomenon: This paper looks at the institutional paths not taken, and the flotsam and jetsam that remains on institutional paths. This is called the structured alternatives perspective on institutional change and new path creation. \n-This paper shows how established institutional paths contain within them possibilities and resources for transformation and off-path organization. Even settled paths are typically littered with flotsam and jetsam—with elements of alternative economic orders and abandoned or partly realized institutional projects. \n\nExplanation: “I argue that even the most ‘settled’ paths are typically, if not inevitably, littered with flotsam and jetsam—with elements or more or less developed systems of alternative industrial orders, abandoned or partially realized institutional projects and ‘paths not taken,’ including theories of order, community associations, political networks, and organizational templates and forms. These fragments or elements of alternative systems represent legacies of constitutional struggles over order and social move- ments whose settlements or defeats helped fix the path that triumphed. They are remnants of previous conflicts, failed or partially successful experiments with alternative paths and battles against what became central axes of industrial order. Moreover, where those legacies acquire sufficient weight, they can serve as resources for the subsequent elaboration of alternative forms or logics” p.48 \n“Overall, the American path is nei- ther as pure, as dominated by large-firm corporate capitalism, nor as purged of alternative institutional forms as conventional wisdom would have it. Instead, there are elements and more or less developed systems of alternative industrial orders strewn about the path. … In fact, the evidence suggests that an alternative or second institutional path emerged and coexisted at the core of the US economy alongside corporate capitalism through the mid-twentieth century and beyond, at least in certain regions of the country—a cooperatively organized and publicly based path that we commonly assume had been abandoned or closed off by the turn of the last century.” p.61-62 \n\nEvidence: Uses organizational data on American Infrastructure Industries, specifically path creation on the American economy during the era of corporate consolidation. The electrical industry took a quite different path than the rest of the American economy yet was foundational to the American path, calling into question the conventional, path dependent view of the American economy. \n‘…the evolution of alternatives was clearly determined by history, by prior organization and by the distribution of existing forms of enterprise. There is clearly path dependence here. But it is a path littered with elements or fragments and more or less developed systems of alternatives—a path ripe for exploitation, institutional revitalization and assembly, and containing within it structural possibilities for alternatives’. 71-72 \n\nFindings: \n-“ First, even the most settled paths are typically, if not inevitably, littered with flotsam and jetsam—with bits and pieces of alternative economic orders and abandoned or partly realized institutional projects” p.70 \n-“Second, these fragments or more or less developed architectures of ‘paths not taken’ are themselves legacies of constitutional struggles and movements for alternative economic orders whose settlements or defeats help fix the path that triumphed. They represent remnants of failed or partially successful experiments with alternative paths—of movements and lost battles against what became the central axes of industrial order.“ p.70 \n-“ Finally, these elements or remnants are potential vehicles for the subsequent elaboration of alternative logics within the broader institutional system. They constitute resources for institutional assembly, revival, recombination or redeployment, and can be used to support further experiments, political mobilization for alternatives, and even the creation over time of wholly new pathways within the womb of the old order”p.70 \n\nNotes: \n-Part 1 set theoretical stage for approach \n-Part 2 looks at how what existed in the American economy (i.e. dominance of markets and large-firm corporate capitalism) shaped what happened in US economy \n-Part 3 looks at evolution of organizational systems to reconsider the dynamics and legacies of American path creation \n-Part IV uses this revised view of the American path and its creation to revisit the problem of change, shedding new light on how transformation and new paths can emerge within extant institutional systems, even in the absence of exogenous shocks \n-two approaches are evolutionary approach (enduring patterns of behaviour remain and fundamental change is quite rare) and crisis approach (radical change occurs and is marked by old routines loosing their force and new paths emerging, revolution, and wholesale transformation; punctuated equilibria); both create an impasse \n-three analytical strategies to resolve the impasse: external structuralist (fields or institutional systems coexist); internal structuralist (institutional paths contain ambiguities or other fuzziness); and internalist approach (this paper) \n-Find that “There are cross-form effects (Minkhoff 1994) that help create and sustain possibilities for alternative organizational forms over time.” p. 64; by this they mean that “elements of alternative industrial order in one sector and time period can become resources or platforms for organizing alternatives, reviving experiments and forging new paths in other sectors in subsequent periods” p64 à this persists when controlling for lots of others things \n-Furthermore, “the alternative organizational forms are correlated historically and geographically with precisely those movements and struggles whose defeats or settlements helped consolidate corporate capitalism and fix the American economy on its distinctive path” p.65 à the defeat of the cooperaties helped establish corporate based America","page":"47-80","title":"What's on the path? Path dependence, organizational diversity and the problem of institutional change in the US economy, 1900–1950","type":"article-journal","volume":"5"},"uris":["http://www.mendeley.com/documents/?uuid=7334f2a7-d33e-48a3-be8e-af984cc6ce09"]}],"mendeley":{"formattedCitation":"(Schneiberg, 2007)","plainTextFormattedCitation":"(Schneiberg, 2007)","previouslyFormattedCitation":"(Schneiberg, 2007)"},"properties":{"noteIndex":0},"schema":"https://github.com/citation-style-language/schema/raw/master/csl-citation.json"}</w:instrText>
      </w:r>
      <w:r>
        <w:rPr>
          <w:lang w:val="en-CA"/>
        </w:rPr>
        <w:fldChar w:fldCharType="separate"/>
      </w:r>
      <w:r w:rsidRPr="005105A9">
        <w:rPr>
          <w:noProof/>
          <w:lang w:val="en-CA"/>
        </w:rPr>
        <w:t>(Schneiberg, 2007)</w:t>
      </w:r>
      <w:r>
        <w:rPr>
          <w:lang w:val="en-CA"/>
        </w:rPr>
        <w:fldChar w:fldCharType="end"/>
      </w:r>
      <w:r>
        <w:rPr>
          <w:lang w:val="en-CA"/>
        </w:rPr>
        <w:t xml:space="preserve">. </w:t>
      </w:r>
      <w:r w:rsidR="001E4352">
        <w:t xml:space="preserve">Yet to </w:t>
      </w:r>
      <w:r w:rsidR="00340C47">
        <w:t>date s</w:t>
      </w:r>
      <w:r w:rsidR="00853F78" w:rsidRPr="00035271">
        <w:t xml:space="preserve">cholars have </w:t>
      </w:r>
      <w:r w:rsidR="00340C47">
        <w:t>explored</w:t>
      </w:r>
      <w:r w:rsidR="00853F78">
        <w:t xml:space="preserve"> </w:t>
      </w:r>
      <w:r w:rsidR="00853F78" w:rsidRPr="00035271">
        <w:t>how institutional infrastructure is built</w:t>
      </w:r>
      <w:r w:rsidR="00853F78">
        <w:t xml:space="preserve"> and maintained</w:t>
      </w:r>
      <w:r w:rsidR="00523456">
        <w:t xml:space="preserve"> by actors</w:t>
      </w:r>
      <w:r w:rsidR="00853F78">
        <w:t xml:space="preserve">, </w:t>
      </w:r>
      <w:r w:rsidR="008B4396">
        <w:t xml:space="preserve">but </w:t>
      </w:r>
      <w:r w:rsidR="00853F78">
        <w:t xml:space="preserve">not </w:t>
      </w:r>
      <w:r w:rsidR="00523456">
        <w:t>their</w:t>
      </w:r>
      <w:r w:rsidR="00853F78">
        <w:t xml:space="preserve"> </w:t>
      </w:r>
      <w:r w:rsidR="00340C47">
        <w:t xml:space="preserve">role in </w:t>
      </w:r>
      <w:r w:rsidR="00853F78">
        <w:t>decline</w:t>
      </w:r>
      <w:r w:rsidR="00340C47">
        <w:t>.</w:t>
      </w:r>
      <w:r w:rsidR="00340C47" w:rsidRPr="00340C47">
        <w:rPr>
          <w:lang w:val="en-CA"/>
        </w:rPr>
        <w:t xml:space="preserve"> </w:t>
      </w:r>
    </w:p>
    <w:p w14:paraId="3BEBE994" w14:textId="3D01A681" w:rsidR="00CF19E2" w:rsidRDefault="00151EDB" w:rsidP="00523456">
      <w:pPr>
        <w:ind w:firstLine="720"/>
        <w:rPr>
          <w:lang w:val="en-CA"/>
        </w:rPr>
      </w:pPr>
      <w:r>
        <w:rPr>
          <w:lang w:val="en-CA"/>
        </w:rPr>
        <w:t>Institutional infrastructure</w:t>
      </w:r>
      <w:r w:rsidR="002A1EAA">
        <w:rPr>
          <w:lang w:val="en-CA"/>
        </w:rPr>
        <w:t>, at the field level,</w:t>
      </w:r>
      <w:r>
        <w:rPr>
          <w:lang w:val="en-CA"/>
        </w:rPr>
        <w:t xml:space="preserve"> reflects “the structuration of fields that occurs through interactions and institutional activity amongst actors” </w:t>
      </w:r>
      <w:r>
        <w:rPr>
          <w:lang w:val="en-CA"/>
        </w:rPr>
        <w:fldChar w:fldCharType="begin" w:fldLock="1"/>
      </w:r>
      <w:r w:rsidR="00FD0FD8">
        <w:rPr>
          <w:lang w:val="en-CA"/>
        </w:rPr>
        <w:instrText>ADDIN CSL_CITATION {"citationItems":[{"id":"ITEM-1","itemData":{"author":[{"dropping-particle":"","family":"Hinings","given":"C. R. (Bob)","non-dropping-particle":"","parse-names":false,"suffix":""},{"dropping-particle":"","family":"Logue","given":"Danielle M.","non-dropping-particle":"","parse-names":false,"suffix":""},{"dropping-particle":"","family":"Zietsma","given":"Charlene","non-dropping-particle":"","parse-names":false,"suffix":""}],"chapter-number":"6","container-title":"The SAGE Handbook of Organizational Institutionalism","edition":"2nd","editor":[{"dropping-particle":"","family":"Greenwood","given":"Royston","non-dropping-particle":"","parse-names":false,"suffix":""},{"dropping-particle":"","family":"Oliver","given":"Christine","non-dropping-particle":"","parse-names":false,"suffix":""},{"dropping-particle":"","family":"Lawrence","given":"Thomas B.","non-dropping-particle":"","parse-names":false,"suffix":""},{"dropping-particle":"","family":"Meyer","given":"Renate E.","non-dropping-particle":"","parse-names":false,"suffix":""}],"id":"ITEM-1","issued":{"date-parts":[["2017"]]},"note":"-institutional infrastructure is related to governance of organizational fields; governance is the formal mechanism that maintains the 'rules of the game' within a field","page":"163-189","publisher":"SAGE Publications, Inc.","publisher-place":"London, UK","title":"Fields, Institutional Infrastructure, and Governance","type":"chapter"},"locator":"167","uris":["http://www.mendeley.com/documents/?uuid=5d5d0e0b-7cb0-443e-80f4-22935bb10972"]}],"mendeley":{"formattedCitation":"(Hinings, Logue, &amp; Zietsma, 2017: 167)","plainTextFormattedCitation":"(Hinings, Logue, &amp; Zietsma, 2017: 167)","previouslyFormattedCitation":"(Hinings, Logue, &amp; Zietsma, 2017: 167)"},"properties":{"noteIndex":0},"schema":"https://github.com/citation-style-language/schema/raw/master/csl-citation.json"}</w:instrText>
      </w:r>
      <w:r>
        <w:rPr>
          <w:lang w:val="en-CA"/>
        </w:rPr>
        <w:fldChar w:fldCharType="separate"/>
      </w:r>
      <w:r w:rsidR="002A1EAA" w:rsidRPr="002A1EAA">
        <w:rPr>
          <w:noProof/>
          <w:lang w:val="en-CA"/>
        </w:rPr>
        <w:t>(Hinings, Logue, &amp; Zietsma, 2017: 167)</w:t>
      </w:r>
      <w:r>
        <w:rPr>
          <w:lang w:val="en-CA"/>
        </w:rPr>
        <w:fldChar w:fldCharType="end"/>
      </w:r>
      <w:r>
        <w:rPr>
          <w:lang w:val="en-CA"/>
        </w:rPr>
        <w:t>. It includes the meanings, practices, identities, power structures, subject positions, and governance mechanisms</w:t>
      </w:r>
      <w:r w:rsidR="00523456">
        <w:rPr>
          <w:lang w:val="en-CA"/>
        </w:rPr>
        <w:t xml:space="preserve">. However, infrastructure is </w:t>
      </w:r>
      <w:r w:rsidR="00EE3E2F">
        <w:rPr>
          <w:lang w:val="en-CA"/>
        </w:rPr>
        <w:t xml:space="preserve">often omitted </w:t>
      </w:r>
      <w:r w:rsidR="008B4396">
        <w:rPr>
          <w:color w:val="000000" w:themeColor="text1"/>
          <w:lang w:val="en-CA"/>
        </w:rPr>
        <w:t>in discussions of</w:t>
      </w:r>
      <w:r w:rsidR="00C67A44">
        <w:rPr>
          <w:lang w:val="en-CA"/>
        </w:rPr>
        <w:t xml:space="preserve"> change </w:t>
      </w:r>
      <w:r w:rsidR="00C67A44">
        <w:rPr>
          <w:lang w:val="en-CA"/>
        </w:rPr>
        <w:fldChar w:fldCharType="begin" w:fldLock="1"/>
      </w:r>
      <w:r w:rsidR="002A1EAA">
        <w:rPr>
          <w:lang w:val="en-CA"/>
        </w:rPr>
        <w:instrText>ADDIN CSL_CITATION {"citationItems":[{"id":"ITEM-1","itemData":{"DOI":"10.1177/0149206317699522","ISSN":"15571211","abstract":"The study of institutional change is a core research area in organization theory and is of increasing relevance for scholarship in other disciplines. In this article, we review the substantial number of studies that have examined the ways by which institutions are created, modified, or transformed, highlighting the lack of integration of prior works that emphasize exogenous shocks, institutional entrepreneurship, and practice-based change. Drawing on the institutional logics perspective, we then develop a novel typology of pathways of change that more comprehensively brings together this diverse literature, accounts for the richness and heterogeneity of institutional change processes unveiled by studies to date, and provides a more synthetic framework to guide future research. Based on our analysis and theorizing, we discuss important new scholarly directions that will enhance our understanding of different kinds of institutional change processes and outcomes, as well as contribute to further development of the institutional logics perspective.","author":[{"dropping-particle":"","family":"Micelotta","given":"Evelyn R.","non-dropping-particle":"","parse-names":false,"suffix":""},{"dropping-particle":"","family":"Lounsbury","given":"Michael","non-dropping-particle":"","parse-names":false,"suffix":""},{"dropping-particle":"","family":"Greenwood","given":"Royston","non-dropping-particle":"","parse-names":false,"suffix":""}],"container-title":"Journal of Management","id":"ITEM-1","issue":"6","issued":{"date-parts":[["2017"]]},"note":"Micelotta et al 2017 \n\n--&amp;gt;&amp;quot;develop a novel typology of pathways of change that more comprehensively brings together this diverse literature, accounts for the richness and heterogeneity of institutional change pro- cesses unveiled by studies to date, and provides a more synthetic framework to guide future research &amp;quot;\n--&amp;gt;&amp;quot;The potential for variations introduced by individuals or organizations that have no intention to challenge or disrupt existing institutional arrangements has been overlooked, as has been the possibility that seemingly minor variations (purposeful or not) may accumulate to generate institutional change (although, see Ansari &amp;amp; Phillips, 2011; Gray, Purdy, &amp;amp; Ansari, 2015; Smets, Morris, &amp;amp; Greenwood, 2012). &amp;quot;\n-starting points of change that were studied were exogenous, then endogenous/agentic, then from improvisation and practice\n-blind spots in institutional entrepreneurship: change portrayed as successful and intended, little is known about introduced but never institutionalized change, and changes that are institutionalized but have unintended consequences --&amp;gt; change agents might not be successful at their intended change\n-agency focus has moved from purposeful to pragmatic\n-we still lack understanding of how pluralism can support or hinder institutional change *ding ding*\n\n--&amp;gt; &amp;quot;In our view, a more comprehensive research program to understanding the temporal dynamics of institutional change is needed&amp;quot; p.1895\n\n-Figure 2 is key in this article\n-four pathways of change for institutions: displacement, alignment, accommodation, accretion\n-accretion --&amp;gt; emily calls this drift\n-&amp;quot;Change is transformational when shared understandings, which define what is accepted and valued in the field, are overturned or significantly altered (for example, through replace- ment, blending, or segregation of institutional logics). Change is developmental when altera- tions are relatively narrow, and involves stretching rather than discarding institutionalized arrangements (for example, through contraction, assimilation, or elaboration of institutional logics). &amp;quot;\n\n-there was a move towards actors, agency, and power in the 90s \n-this is, of course, a process, that includes a particular kind of change \n-this paper was in a special issue about insittutional entrepreneurship\n-buig issues here is thinking about how we merge actors and agency \n-a lot of work that talks about actors dont problematize actors\n-there are a lot of different avenues to think about insitutional process and contibutions when reading this paper --&amp;gt; we can engage logics and practices though this kind of work\n-call for more work on &amp;quot;causes of effects&amp;quot; research (as opposed to effects of causes)\n\n--&amp;gt; is my thesis work accomodation?","page":"1885-1910","title":"Pathways of Institutional Change: An Integrative Review and Research Agenda","type":"article-journal","volume":"43"},"prefix":"e.g.","uris":["http://www.mendeley.com/documents/?uuid=a64c3952-35b8-4948-919f-4ada38e35dfc"]}],"mendeley":{"formattedCitation":"(e.g. Micelotta, Lounsbury, &amp; Greenwood, 2017)","plainTextFormattedCitation":"(e.g. Micelotta, Lounsbury, &amp; Greenwood, 2017)","previouslyFormattedCitation":"(e.g. Micelotta, Lounsbury, &amp; Greenwood, 2017)"},"properties":{"noteIndex":0},"schema":"https://github.com/citation-style-language/schema/raw/master/csl-citation.json"}</w:instrText>
      </w:r>
      <w:r w:rsidR="00C67A44">
        <w:rPr>
          <w:lang w:val="en-CA"/>
        </w:rPr>
        <w:fldChar w:fldCharType="separate"/>
      </w:r>
      <w:r w:rsidR="007775D5" w:rsidRPr="00EF6482">
        <w:rPr>
          <w:noProof/>
          <w:lang w:val="en-CA"/>
        </w:rPr>
        <w:t>(e.g. Micelotta, Lounsbury, &amp; Greenwood, 2017)</w:t>
      </w:r>
      <w:r w:rsidR="00C67A44">
        <w:rPr>
          <w:lang w:val="en-CA"/>
        </w:rPr>
        <w:fldChar w:fldCharType="end"/>
      </w:r>
      <w:r w:rsidR="00887813">
        <w:rPr>
          <w:lang w:val="en-CA"/>
        </w:rPr>
        <w:t xml:space="preserve">, </w:t>
      </w:r>
      <w:r w:rsidR="00307533">
        <w:rPr>
          <w:lang w:val="en-CA"/>
        </w:rPr>
        <w:t xml:space="preserve">as </w:t>
      </w:r>
      <w:r w:rsidR="00C67A44">
        <w:rPr>
          <w:lang w:val="en-CA"/>
        </w:rPr>
        <w:t>if</w:t>
      </w:r>
      <w:r w:rsidR="00C67A44" w:rsidRPr="008E5C9C">
        <w:rPr>
          <w:lang w:val="en-CA"/>
        </w:rPr>
        <w:t xml:space="preserve"> </w:t>
      </w:r>
      <w:r w:rsidR="00C67A44">
        <w:rPr>
          <w:lang w:val="en-CA"/>
        </w:rPr>
        <w:t xml:space="preserve">the prior </w:t>
      </w:r>
      <w:r w:rsidR="00C67A44" w:rsidRPr="008E5C9C">
        <w:rPr>
          <w:lang w:val="en-CA"/>
        </w:rPr>
        <w:t xml:space="preserve">elaboration of infrastructure </w:t>
      </w:r>
      <w:r w:rsidR="00C67A44">
        <w:rPr>
          <w:lang w:val="en-CA"/>
        </w:rPr>
        <w:t xml:space="preserve">in </w:t>
      </w:r>
      <w:r w:rsidR="001E4352">
        <w:rPr>
          <w:lang w:val="en-CA"/>
        </w:rPr>
        <w:t xml:space="preserve">a </w:t>
      </w:r>
      <w:r w:rsidR="00C67A44">
        <w:rPr>
          <w:lang w:val="en-CA"/>
        </w:rPr>
        <w:t xml:space="preserve">field </w:t>
      </w:r>
      <w:r w:rsidR="00D737E8">
        <w:rPr>
          <w:lang w:val="en-CA"/>
        </w:rPr>
        <w:t>is</w:t>
      </w:r>
      <w:r w:rsidR="00D737E8" w:rsidRPr="008E5C9C">
        <w:rPr>
          <w:lang w:val="en-CA"/>
        </w:rPr>
        <w:t xml:space="preserve"> </w:t>
      </w:r>
      <w:r w:rsidR="00C67A44" w:rsidRPr="008E5C9C">
        <w:rPr>
          <w:lang w:val="en-CA"/>
        </w:rPr>
        <w:t>inconsequential.</w:t>
      </w:r>
      <w:r w:rsidR="001E4352">
        <w:rPr>
          <w:lang w:val="en-CA"/>
        </w:rPr>
        <w:t xml:space="preserve"> Yet i</w:t>
      </w:r>
      <w:r w:rsidR="004C251D">
        <w:rPr>
          <w:lang w:val="en-CA"/>
        </w:rPr>
        <w:t xml:space="preserve">nstitutions are historically constituted </w:t>
      </w:r>
      <w:r w:rsidR="00FA3A14" w:rsidRPr="008E5C9C">
        <w:rPr>
          <w:lang w:val="en-CA"/>
        </w:rPr>
        <w:fldChar w:fldCharType="begin" w:fldLock="1"/>
      </w:r>
      <w:r w:rsidR="002A1EAA">
        <w:rPr>
          <w:lang w:val="en-CA"/>
        </w:rPr>
        <w:instrText xml:space="preserve">ADDIN CSL_CITATION {"citationItems":[{"id":"ITEM-1","itemData":{"abstract":"This paper exmaines the sources and processes of management learning in four large, former state enterprises i nthe Czech Republic. These enterprises have all been privatized, but have not enjoyed foreign direct investment, which is often cited as a major source of post-communist management development. The findings indicate that current managerial knowledge in the enterprises has originated from a variet of domestic and foreign sources, but that the flow of ideas has been affected by a number of important filter, arising fromthe complexity of the Czech context, and the motives of the enterprise managers. In particular, the paper documents the continuing role of managerial knowledge eminating from pre-1989 sources, a factor in which may have crucial implications for the nature of the emerging institution of post-communist Czech management.","author":[{"dropping-particle":"","family":"Soulsby","given":"Anna","non-dropping-particle":"","parse-names":false,"suffix":""},{"dropping-particle":"","family":"Clark","given":"Ed","non-dropping-particle":"","parse-names":false,"suffix":""}],"container-title":"Organization Studies","id":"ITEM-1","issue":"2","issued":{"date-parts":[["1996"]]},"note":"Phenomenon\n·      About the sources and processes of management leaning in four large former. State enterprises in the Czech republic \n·      The paper records and examines the sources and processes of management learning that have been significant in four former state enterprises that were privatized in 1989 and got infusions of foreign capital not until 1994 \n\nExplanation\no   The CR used to be communist but is now not \n·      Pre-1989 (CR fall of communism) sources is where managers got the knowledge they needed to do their things that they did </w:instrText>
      </w:r>
      <w:r w:rsidR="002A1EAA">
        <w:rPr>
          <w:lang w:val="en-CA"/>
        </w:rPr>
        <w:instrText> so used remnants of the former institution to do later work / function in the field \no   This former knowledge had crucial implications for the nature of the emerging institution of post-communist management in Czech republic \n\nEvidence\n·      60 managers were interviewed at the 4 businesses during research visits that happened between 1992 and 1994 \n\nFindings\n·      Ideas and practices from management institution as it was pre-1989, during the communist era, are filters that influenced managerial learning in the post-communist management era, as the institution of management under no communist emerged \n·      The new institution also relied on other institutions to form itself, specifically the Czech identity and doing things in a “Czech” way and using socially accepted values about Czech identity \n·      historical Czech context “influenced the process of managerial learning, affecting the values of managers and encouraging the retention of old practices; and, simultaneously, that coping with the post-communist transition period has facilitated the acquisition of new managerial values and practices” page 239 \no   these things were more important for managerial learning and the emergence of the new institution of management in the post-communist CR than the infusion of foreign capital and the associated western management knowledge","page":"227-247","title":"The Emergence of Post-Communist Management in the Czech Republic","type":"article-journal","volume":"17"},"uris":["http://www.mendeley.com/documents/?uuid=2203c179-575c-45de-a92a-722d13cc65b4"]},{"id":"ITEM-2","itemData":{"DOI":"10.5465/amr.2017.0392","ISSN":"0363-7425","author":[{"dropping-particle":"","family":"Steele","given":"Christopher W. J.","non-dropping-particle":"","parse-names":false,"suffix":""}],"container-title":"Academy of Management Review","id":"ITEM-2","issue":"2","issued":{"date-parts":[["2021","4","6"]]},"note":"--taken-for-grantedness is not a self-sustaining feature of institutions, but an ongoing accomplishment\n--important point is breach vs oddity --&amp;gt; what turns an oddity into a breach and what types of odditites turn into breaches remains to be unpacked --&amp;gt; chris talks about two stylized pathways that move an oddity into a breach \n--&amp;quot;insittutions as the basic grammar of social reality&amp;quot; --&amp;gt; its a definition in this paper \n\n--there is also a pushback right now against the change literature where people are thinking about what does stability mean for institutions --&amp;gt; this paper is about how are facts produced and reproduced --&amp;gt; also an instituiton being a fact does not mean that it is taken for granted \n--the microactivities are the institution --&amp;gt; they are not shapping or being shaped by the institution\n--microfoundations movement is about making the micro really strong and trying to show that it's there and then bridging it with the micro \n\n--this is not a microfoundational piece, according to chris, because the macro is just as foundational as the micro in this paper\n\n--how do odditites happen and get corrected? And at what level does the oddity and the correction happen?\n\n--it also seems like there are two kinds of odditites one is mistake/intentional/knowledgeable and another comes from interactions between two institutions","page":"341-361","title":"When Things Get Odd: Exploring the Interactional Choreography of Taken-for-Grantedness","type":"article-journal","volume":"46"},"uris":["http://www.mendeley.com/documents/?uuid=5a2556de-1025-4529-8dc0-79f21a742599"]}],"mendeley":{"formattedCitation":"(Soulsby &amp; Clark, 1996; Steele, 2021)","plainTextFormattedCitation":"(Soulsby &amp; Clark, 1996; Steele, 2021)","previouslyFormattedCitation":"(Soulsby &amp; Clark, 1996; Steele, 2021)"},"properties":{"noteIndex":0},"schema":"https://github.com/citation-style-language/schema/raw/master/csl-citation.json"}</w:instrText>
      </w:r>
      <w:r w:rsidR="00FA3A14" w:rsidRPr="008E5C9C">
        <w:rPr>
          <w:lang w:val="en-CA"/>
        </w:rPr>
        <w:fldChar w:fldCharType="separate"/>
      </w:r>
      <w:r w:rsidR="002A1EAA" w:rsidRPr="002A1EAA">
        <w:rPr>
          <w:noProof/>
          <w:lang w:val="en-CA"/>
        </w:rPr>
        <w:t>(Soulsby &amp; Clark, 1996; Steele, 2021)</w:t>
      </w:r>
      <w:r w:rsidR="00FA3A14" w:rsidRPr="008E5C9C">
        <w:rPr>
          <w:lang w:val="en-CA"/>
        </w:rPr>
        <w:fldChar w:fldCharType="end"/>
      </w:r>
      <w:r w:rsidR="00EF6482">
        <w:rPr>
          <w:lang w:val="en-CA"/>
        </w:rPr>
        <w:t xml:space="preserve">, leave remnants like people and practices </w:t>
      </w:r>
      <w:r w:rsidR="00EF6482">
        <w:rPr>
          <w:lang w:val="en-CA"/>
        </w:rPr>
        <w:fldChar w:fldCharType="begin" w:fldLock="1"/>
      </w:r>
      <w:r w:rsidR="00EF6482">
        <w:rPr>
          <w:lang w:val="en-CA"/>
        </w:rPr>
        <w:instrText>ADDIN CSL_CITATION {"citationItems":[{"id":"ITEM-1","itemData":{"DOI":"10.1177/0001839218817520","ISSN":"19303815","abstract":"Through an in-depth, historically embedded study of the craft revolution in Dutch beer brewing that began in the 1970s, we illuminate how organizational fields may experience regenerative change through the reemergence of traditional arrangements. The remarkable resurgence of craft in this context, following the rapid industrialization of the twentieth century that left only industrially produced pilsner in its wake, serves as the basis of our process theory of regenerative institutional change through logic reemergence. The results of our qualitative analysis show that institutional logics that appear dead or decomposed may never truly die, as they leave remnants behind that field actors can rediscover, repurpose, and reuse at later stages. We show how, in the Netherlands, networks of individuals that had access to the remnants of craft brewing were regenerated, in part fueled by increasing exposure to British, Belgian, and German craft brewing, and how these networks ultimately succeeded in reviving traditional prescriptions for beer and brewing, as well as restoring previously abandoned brewery forms and technologies and beer styles. These activities led not only to a sudden proliferation of alternatives to the dominant industrial pilsner but also to fundamental changes in the meaning and organization of beer brewing, as they were associated with the reinvigoration of institutional orders that preceded those of the corporation and the market. Yet we also observe how, on the ground, remnants of traditional craft often needed to be blended with contemporaneous elements from modern industrialism, as well as foreign representations of craft, to facilitate reemergence. We thus argue that regenerative institutional change likely resembles a dualistic process of restoration and transformation.","author":[{"dropping-particle":"","family":"Kroezen","given":"Jochem J.","non-dropping-particle":"","parse-names":false,"suffix":""},{"dropping-particle":"","family":"Heugens","given":"Pursey P. M. A. R.","non-dropping-particle":"","parse-names":false,"suffix":""}],"container-title":"Administrative Science Quarterly","id":"ITEM-1","issue":"4","issued":{"date-parts":[["2019"]]},"note":"Phenomenon: resurgence of logics long after they appear to have died; regenerative institutional change\n\nExplanation: logics leave remenants &amp;quot;that field actors can rediscover, repurpose, and reuse at later stages.&amp;quot; The networks of individuals who were connected to craft brewing were regenerated and it was these networks the revived traditional beer and brewing, brewery forms, technoogy, and beer styles.\n\nRegenerative institutional change is a dualistic process with restoration and transformation. \n\nThree overlaping stages of logic reemergence (all p 990)\n-‘‘Rediscovering a logic’’ refers to regenerative activities contributing to the recollection of remnants of the decomposed logic by regenerating networks of dormant custodians \n-‘‘Refurbishing a logic’’ involves the relegitimation of these remnants through the regeneration of ideational elements \n-‘‘Reincarnating a logic’’ entails reactivating the remnants of the decomposed institutional logic through the regeneration of material elements \n\nEvidence: Historical case study of the craft Dutch beer revolution that began in the 1970s\n\nNotes:\n-the remnants come in three types of traces: texts, memories, and artifacts\n-the remnants are sometimes activated by custodians: when organziational fields are &amp;quot;first experiencing logic decomposition, such custodians may be visible in rela- tively marginalized positions, from which they continue to conserve alternative ideational and/or material logic elements by adhering to traditional organiza- tional forms and practices&amp;quot; -p982 --&amp;gt; it goes on to explain the roles of the custodians in the other phased of logic decomposition\n-my own thought: it seems like the initial brew pubs were really important spaces for the rememerging logic was able to happen, and then PINT is kind of the same thing \n\nQuestion: what is the role of space in this process?","page":"976-1019","title":"What Is Dead May Never Die: Institutional Regeneration through Logic Reemergence in Dutch Beer Brewing","type":"article-journal","volume":"64"},"uris":["http://www.mendeley.com/documents/?uuid=09ff873c-f8da-45d0-a6e4-1ea3d3b6c673"]}],"mendeley":{"formattedCitation":"(Kroezen &amp; Heugens, 2019)","plainTextFormattedCitation":"(Kroezen &amp; Heugens, 2019)","previouslyFormattedCitation":"(Kroezen &amp; Heugens, 2019)"},"properties":{"noteIndex":0},"schema":"https://github.com/citation-style-language/schema/raw/master/csl-citation.json"}</w:instrText>
      </w:r>
      <w:r w:rsidR="00EF6482">
        <w:rPr>
          <w:lang w:val="en-CA"/>
        </w:rPr>
        <w:fldChar w:fldCharType="separate"/>
      </w:r>
      <w:r w:rsidR="00EF6482" w:rsidRPr="009561B6">
        <w:rPr>
          <w:noProof/>
          <w:lang w:val="en-CA"/>
        </w:rPr>
        <w:t>(Kroezen &amp; Heugens, 2019)</w:t>
      </w:r>
      <w:r w:rsidR="00EF6482">
        <w:rPr>
          <w:lang w:val="en-CA"/>
        </w:rPr>
        <w:fldChar w:fldCharType="end"/>
      </w:r>
      <w:r w:rsidR="001E4352">
        <w:rPr>
          <w:lang w:val="en-CA"/>
        </w:rPr>
        <w:t>,</w:t>
      </w:r>
      <w:r w:rsidR="00EF6482">
        <w:rPr>
          <w:lang w:val="en-CA"/>
        </w:rPr>
        <w:t xml:space="preserve"> </w:t>
      </w:r>
      <w:r w:rsidR="004C251D">
        <w:rPr>
          <w:lang w:val="en-CA"/>
        </w:rPr>
        <w:t>and there</w:t>
      </w:r>
      <w:r w:rsidR="008A1F51">
        <w:rPr>
          <w:lang w:val="en-CA"/>
        </w:rPr>
        <w:t xml:space="preserve"> </w:t>
      </w:r>
      <w:r w:rsidR="001E4352">
        <w:rPr>
          <w:lang w:val="en-CA"/>
        </w:rPr>
        <w:t xml:space="preserve">is </w:t>
      </w:r>
      <w:r w:rsidR="008A1F51">
        <w:rPr>
          <w:lang w:val="en-CA"/>
        </w:rPr>
        <w:t xml:space="preserve">no such thing as an institutional-less social space </w:t>
      </w:r>
      <w:r w:rsidR="008A1F51">
        <w:rPr>
          <w:lang w:val="en-CA"/>
        </w:rPr>
        <w:fldChar w:fldCharType="begin" w:fldLock="1"/>
      </w:r>
      <w:r w:rsidR="008A1F51">
        <w:rPr>
          <w:lang w:val="en-CA"/>
        </w:rPr>
        <w:instrText>ADDIN CSL_CITATION {"citationItems":[{"id":"ITEM-1","itemData":{"DOI":"10.1177/0170840618819037","author":[{"dropping-particle":"","family":"Bothello","given":"J","non-dropping-particle":"","parse-names":false,"suffix":""},{"dropping-particle":"","family":"Nason","given":"R S","non-dropping-particle":"","parse-names":false,"suffix":""},{"dropping-particle":"","family":"Schnyder","given":"G","non-dropping-particle":"","parse-names":false,"suffix":""}],"container-title":"Organization Studies","id":"ITEM-1","issue":"10","issued":{"date-parts":[["2019"]]},"note":"Cited By :6\n\nExport Date: 26 February 2020","page":"1499-1512","title":"Institutional Voids and Organization Studies: Towards an epistemological rupture","type":"article-journal","volume":"40"},"uris":["http://www.mendeley.com/documents/?uuid=572f4681-bde8-46d4-9a47-287295ed6332"]}],"mendeley":{"formattedCitation":"(Bothello, Nason, &amp; Schnyder, 2019)","plainTextFormattedCitation":"(Bothello, Nason, &amp; Schnyder, 2019)","previouslyFormattedCitation":"(Bothello, Nason, &amp; Schnyder, 2019)"},"properties":{"noteIndex":0},"schema":"https://github.com/citation-style-language/schema/raw/master/csl-citation.json"}</w:instrText>
      </w:r>
      <w:r w:rsidR="008A1F51">
        <w:rPr>
          <w:lang w:val="en-CA"/>
        </w:rPr>
        <w:fldChar w:fldCharType="separate"/>
      </w:r>
      <w:r w:rsidR="008A1F51" w:rsidRPr="008A1F51">
        <w:rPr>
          <w:noProof/>
          <w:lang w:val="en-CA"/>
        </w:rPr>
        <w:t>(Bothello, Nason, &amp; Schnyder, 2019)</w:t>
      </w:r>
      <w:r w:rsidR="008A1F51">
        <w:rPr>
          <w:lang w:val="en-CA"/>
        </w:rPr>
        <w:fldChar w:fldCharType="end"/>
      </w:r>
      <w:r w:rsidR="004C251D">
        <w:rPr>
          <w:lang w:val="en-CA"/>
        </w:rPr>
        <w:t>.</w:t>
      </w:r>
      <w:r w:rsidR="00887813">
        <w:rPr>
          <w:lang w:val="en-CA"/>
        </w:rPr>
        <w:t xml:space="preserve"> </w:t>
      </w:r>
    </w:p>
    <w:p w14:paraId="0E0B7826" w14:textId="77777777" w:rsidR="00FD0FD8" w:rsidRDefault="00CF19E2" w:rsidP="00FD0FD8">
      <w:pPr>
        <w:ind w:firstLine="720"/>
      </w:pPr>
      <w:r>
        <w:t>S</w:t>
      </w:r>
      <w:r w:rsidRPr="00035271">
        <w:t xml:space="preserve">tudies that describe institutional infrastructure </w:t>
      </w:r>
      <w:r w:rsidR="00523456">
        <w:t xml:space="preserve">decline </w:t>
      </w:r>
      <w:r w:rsidRPr="00035271">
        <w:t xml:space="preserve">tend to have an antecedent lens and fairy-tale ending: scholars emphasize how </w:t>
      </w:r>
      <w:r w:rsidR="00523456">
        <w:t>actors ultimately saved, adapted</w:t>
      </w:r>
      <w:r w:rsidR="00FD0FD8">
        <w:t xml:space="preserve">, or replaced </w:t>
      </w:r>
      <w:r w:rsidRPr="00035271">
        <w:t xml:space="preserve">infrastructure </w:t>
      </w:r>
      <w:r w:rsidRPr="00035271">
        <w:fldChar w:fldCharType="begin" w:fldLock="1"/>
      </w:r>
      <w:r w:rsidR="00FD0FD8">
        <w:instrText>ADDIN CSL_CITATION {"citationItems":[{"id":"ITEM-1","itemData":{"DOI":"10.1177/0170840613492075","ISSN":"01708406","abstract":"This paper contributes to extending institutional theory by theorizing institutional maintenance as a process of repair and empirically examining repair work in a professional setting. Our in-depth, longitudinal case study illustrates how Italian professions-led by two professional associations-rebuffed the decisive intervention of the Italian Government to coercively reform the professional service sector and reconstituted institutional arrangements that had been severely disrupted. The paper advances theory on the resilience of institutions by showing that maintenance repair work enables powerful incumbents to reverse change and re-establish the status quo. © The Author(s) 2013.","author":[{"dropping-particle":"","family":"Micelotta","given":"Evelyn R.","non-dropping-particle":"","parse-names":false,"suffix":""},{"dropping-particle":"","family":"Washington","given":"Marvin","non-dropping-particle":"","parse-names":false,"suffix":""}],"container-title":"Organization Studies","id":"ITEM-1","issue":"8","issued":{"date-parts":[["2013"]]},"note":"Phenomenon: institutional maintenance as repair, with repair work as a thing that can be done: &amp;quot;institutional analysis has yet to con- sider whether and how incumbents can perform maintenance work aimed at reversing change and reestablishing the status quo&amp;quot; -p1141\n\nRQ: “How do incumbent actors successfully ‘repair’ dis- rupted institutional arrangements, that is, reverse change and re-establish the status quo?” \n\nExplanation: institutions are actively reproduced through institutional work, and this institutional work is done to do institutional maintenance. There are two important professional associations that helped in this work (National Forensic Council and Committee United for Professions). This particular kind of maintenance work is repair work\n-Repair work is triggered by disruption, enabled by social position of incumbents, and contingent on how critial the disruption is, which determines whether the repair is an adaptative solution or a restoration of the status quo\n\nEvidence: Longitudinal case study of Italian professions rejected the Italian Government's coercive efforts to reform the professional service sector and to reonstitute institutional arrangements that had been disrupted\n\nNotes:\n-There are two main kinds of maintenance work: (i) work aimed at preserving and reinforcing existing institutional arrange- ments; and (ii) work aimed at adjusting and adapting to inflected institutional arrangements\n-italian some professional associatoins had a very special and distinct way of being that was disrupted by the decree that stated that all the professional associations had to comply with EU standards\n- this paper proposes &amp;quot;a novel conceptualization of institutional maintenance as an active process of repair and identifying a novel form of maintenance work, namely repair work, that enables the disruption of institutional arrangements to be reversed and the status quo to be re-established&amp;quot; - p1157","page":"1137-1170","title":"Institutions and Maintenance: The Repair Work of Italian Professions","type":"article-journal","volume":"34"},"uris":["http://www.mendeley.com/documents/?uuid=3372a2b0-4fb8-4608-9c76-449cd61c4b21"]},{"id":"ITEM-2","itemData":{"DOI":"10.5465/3069285","ISSN":"0001-4273","author":[{"dropping-particle":"","family":"Greenwood","given":"Royston","non-dropping-particle":"","parse-names":false,"suffix":""},{"dropping-particle":"","family":"Suddaby","given":"Roy","non-dropping-particle":"","parse-names":false,"suffix":""},{"dropping-particle":"","family":"Hinings","given":"C. R.","non-dropping-particle":"","parse-names":false,"suffix":""}],"container-title":"Academy of Management Journal","id":"ITEM-2","issue":"1","issued":{"date-parts":[["2002","2"]]},"page":"58-80","title":"Theorizing Change: The Role of Professional Associations in the Transformation of Institutionalized Fields","type":"article-journal","volume":"45"},"uris":["http://www.mendeley.com/documents/?uuid=0a0377dc-8b62-4571-96f0-2c5c1e0b9fff"]}],"mendeley":{"formattedCitation":"(Greenwood, Suddaby, &amp; Hinings, 2002; Micelotta &amp; Washington, 2013)","plainTextFormattedCitation":"(Greenwood, Suddaby, &amp; Hinings, 2002; Micelotta &amp; Washington, 2013)","previouslyFormattedCitation":"(Do, Lyle, &amp; Walsh, 2019; Greenwood, Suddaby, &amp; Hinings, 2002; Howard-Grenville et al., 2013; Kroezen &amp; Heugens, 2019; Micelotta &amp; Washington, 2013)"},"properties":{"noteIndex":0},"schema":"https://github.com/citation-style-language/schema/raw/master/csl-citation.json"}</w:instrText>
      </w:r>
      <w:r w:rsidRPr="00035271">
        <w:fldChar w:fldCharType="separate"/>
      </w:r>
      <w:r w:rsidR="00FD0FD8" w:rsidRPr="00FD0FD8">
        <w:rPr>
          <w:noProof/>
        </w:rPr>
        <w:t>(Greenwood, Suddaby, &amp; Hinings, 2002; Micelotta &amp; Washington, 2013)</w:t>
      </w:r>
      <w:r w:rsidRPr="00035271">
        <w:fldChar w:fldCharType="end"/>
      </w:r>
      <w:r w:rsidRPr="00035271">
        <w:t>.</w:t>
      </w:r>
      <w:r>
        <w:t xml:space="preserve"> </w:t>
      </w:r>
      <w:r w:rsidR="00523456">
        <w:t>To date s</w:t>
      </w:r>
      <w:r w:rsidR="00523456" w:rsidRPr="00035271">
        <w:t xml:space="preserve">cholars have </w:t>
      </w:r>
      <w:r w:rsidR="00523456">
        <w:t xml:space="preserve">explored the early formation moments and the repair of institutions </w:t>
      </w:r>
      <w:r w:rsidR="00523456">
        <w:fldChar w:fldCharType="begin" w:fldLock="1"/>
      </w:r>
      <w:r w:rsidR="00FD0FD8">
        <w:instrText>ADDIN CSL_CITATION {"citationItems":[{"id":"ITEM-1","itemData":{"DOI":"10.1177/01708406211031733","ISSN":"17413044","abstract":"The construction of market infrastructure is a key component of market formation. In this article, we explore when and how this process leads to the fragmentation of a nascent market. We study the emergence of new markets in the context of social and impact investing in the United Kingdom during the period 1999 to 2019. We identify a recursive process of building the cultural and material infrastructure of the market, which we label cultural and material scaffolding, that drives collective learning by envisioning alternative futures and conducting institutional trials. We show how this scaffolding process explains the split between the social investment and the impact investment markets, which we theorize as market speciation. We identify two scope conditions under which we expect speciation to occur: field overlap and material anchoring. The paper contributes to the literature on market formation, and to the empirical understanding of how social and impact investment have emerged.","author":[{"dropping-particle":"","family":"Casasnovas","given":"Guillermo","non-dropping-particle":"","parse-names":false,"suffix":""},{"dropping-particle":"","family":"Ferraro","given":"Fabrizio","non-dropping-particle":"","parse-names":false,"suffix":""}],"container-title":"Organization Studies","id":"ITEM-1","issue":"6","issued":{"date-parts":[["2022"]]},"note":"Phenomenon\n-the recursive construction of market infrastructure during market formation —&amp;gt; this infrastructure is both cultural and material\n-how and why this process leads to fragmentation of a nascent market\n—why do nascent markets sometimes splinter into multiple markets\n—RQ: when and how does the process of building infrastructure in a nascent market lead to fragmentation?\n\n\nExplanation\n-there is a recursive process of building the cultural and material infrastructure of the market (building cultural and material scaffolding) and this drives collectively learning —&amp;gt; there is neither a rationally designed market nor a random process but a process of collective learning where there are iterations of the market \n-collective learning happen because there is envisioning of alternative futures and institutional trials are conducted\n-the scaffolding process explains why there is market speciation: a split between the social investment and impact investment markets \n-field overlap and material anchoring are two boundary conditions of the market speciation mechanism \n—two distinct types of infrastructure construction: \nreinterpretation of cultural infrastructure (reframing and redirecting existing roles)\nRepurposing of material infrastructure (reorienting of practices and artifacts in line with the new direction from the reinterpretation process)\n\n\nKey terms\n-cultural scaffolding: process of building the temporary field frame of the market, which envisions alternative futures that open new opportunities \n-material scaffolding: building material elements that act as institutional trials and shape the development of the market (e.g. regulation, intermediary organizations, market tools)\n\n\nEvidence \n-studied social and impact investing in the UK between 1999-2019\n-in depth qualitative analysis of a single case study\n-45 semi-structured interviews, 90 archival reports, 150 hours of participant observation, other sources of data \n-used temporal bracketing to code the data, eventually used a visual map to look at the processes and eventually end up with the outcome of market speciation \n—&amp;gt; visual map would be a helpful item for my dissertation \n\n\nFindings\n—during initial phase, actors reinterpreted existing practices with different meanings which moved the field from ambiguous to a common understanding of social investment and practices. However, there ended up being a bunch of different terms and by the end of the decade the actors from different backgrounds ended up separating social investing from impact investment in part because of new regulations and laws etc (new material infrastructure). \n-the emerging impact investing market started, at the same time as the end of decade, to become a global trend and market speciation began happening \n\n\nNotes\n-building market infrastructure is a key aspect of building a new market (many cites here)\n-“different types of language and practices in this field are not a random accident, but rather the result of various stages of collective learning that include the reinterpretation of field frames and the repurposing of material structures” p. 830\n—“we define scaffolding as the process of building temporary cultural and material market infrastructure, which enable collective learning. Furthermore, we distinguish the two primary forms of collective learning that we observe, which we label cultural and material scaffolding.” p. 849\n—different groups of actors might identify different potential market developments and champion different vision for the future while the market is being developed. The visions provide scaffolding that support and direct the market building process.","page":"829-860","title":"Speciation in Nascent Markets: Collective learning through cultural and material scaffolding","type":"article-journal","volume":"43"},"uris":["http://www.mendeley.com/documents/?uuid=124e141b-49e3-41da-b5cb-de168ca38cde"]},{"id":"ITEM-2","itemData":{"DOI":"10.5465/amr.2021.0045","ISSN":"0363-7425","abstract":"We explore how, and under which conditions, market institutions can spontaneously arise after an institutional collapse. Drawing on emergence theory, we develop amultile- vel model of institutional emergence after an extreme collapse, where only the indivi- duals’ memories remain from pre-collapse institutions. We start with individuals seeking to transact, looking to decrease cost and increase trust in their transactions. At the micro level, the multiplication oftransactions can trigger processes ofamplification– convergence and cancelation, through an activity- and a cultural cognitive-based driver ofinstitutionalization. At the meso level, these processes result in the spontaneous emer- gence oflegitimacy and power, organized agents shaping emergence, and the institution- alization of transaction attributes. At the macro level, the amalgamation of compatible institutionalized attributes leads to the emergence ofmarket institutions, with nine pos- sible institutional infrastructures, which are shaped by the initial conditions of emer- gence. Our study contributes to the literature by isolating the role of spontaneous processes in institutional dynamics, by identifying the initial conditions necessary for the emergence of market institutions, and by showing how legitimacy and power can spontaneously emerge. We illustrate our reasoning with reference to refugee economies.","author":[{"dropping-particle":"","family":"Haxhi","given":"Ilir","non-dropping-particle":"","parse-names":false,"suffix":""},{"dropping-particle":"","family":"Rivera-Santos","given":"Miguel","non-dropping-particle":"","parse-names":false,"suffix":""},{"dropping-particle":"","family":"Rufín","given":"Carlos","non-dropping-particle":"","parse-names":false,"suffix":""}],"container-title":"Academy of Management Review","id":"ITEM-2","issue":"00","issued":{"date-parts":[["2024","7","25"]]},"note":"--i like how this review paper was set up (espeically first paragraph under heading on page 2) and about how they integrate emergence theory- this could be how I integrate environmental chaos theory in my thesis \n--there are situations in which market instituions appear spontaneously without powerful actors to guide the process, even when there is no higer-level institutional order available as a basis for new institutions to arise --&amp;gt; This paper develops a model to explain how market instiutions can apparently spontaneously emerge\n--uses emergence theory in theory, including an example from physics, in theor theorization --&amp;gt; grounds theorization in emergence theory throughout\n\n-&amp;quot;The starting point for ourmodel (see Figure 1) is the\nideal-type case of an extreme formof institutional col- lapse, in which all three ofScott’s (2001) institutional pillars have collapsed and in which individuals’\nmemories are the only institutional remnants, or “flotsam and jetsam” (Schneiberg, 2007: 47), remain- ing from pre-collapse institutions.&amp;quot; --&amp;gt;only culturall cognitive institutions would remain\n--institutional infrastructure can have &amp;quot;degree of elaboration (degree to which institutions are developed) and a high or low level of coherency (degree towhich logics are settled).&amp;quot;\n-last section looks at nine different scenarios of elaboration, as it is not necessairly the case that all the ipllars of institutionalism eed to be fulle elaborated in order for a market to take form\n\n--amalgamation of instiutionalized attributes will result in instiutions\n--agents in emerging fields can shape the ongoing insittuionalization processes to their benefit\n--ultmately theorize 9 scenarios of insrtitutional infrastucture emergence\n--theorize three levels of instutitons: micro, meso, and macro","page":"1-26","title":"After the Collapse: Spontaneous Institutionalization and the Emergence of Market Institutions","type":"article-journal","volume":"00"},"uris":["http://www.mendeley.com/documents/?uuid=127a4985-268a-4f8d-a17f-3b794d267397"]},{"id":"ITEM-3","itemData":{"DOI":"10.1177/01708406231159490","ISSN":"0170-8406","abstract":"Increasingly we are faced with broad societal challenges that encourage us to rethink existing institutions. Yet many people also want to preserve institutions they cherish. This tension points to the need for change that can erode or discontinue unsustainable or problematic aspects of institutions while also maintaining what is sacred and valued. In this paper we ask how can organizations deinstitutionalize taken-for-granted practices while also preserving the institution? We answer this question by exploring how Trout Unlimited deployed visual and discursive tactics to push out unsustainable catch-and-harvest fly fishing practices and insert new catch-and-release practices. Our primary theoretical contribution is a model of repair-focused deinstitutionalization, illustrating how custodians utilize three forms of work to respond to threats—mending, caring, and restoring—all with an eye on deinstitutionalization via repair rather than disruption. Importantly, we show how the construct of repair is multipurpose, not limited to maintenance strategies, but can also be a catalyst for change. In addition, we extend research on deinstitutionalization by presenting a multimodal approach that goes beyond discourse, with particular attention to visuality and show how different modalities present different affordances in longer-term repair efforts.","author":[{"dropping-particle":"","family":"Crawford","given":"Brett","non-dropping-particle":"","parse-names":false,"suffix":""},{"dropping-particle":"","family":"Toubiana","given":"Madeline","non-dropping-particle":"","parse-names":false,"suffix":""},{"dropping-particle":"","family":"Coslor","given":"Erica","non-dropping-particle":"","parse-names":false,"suffix":""}],"container-title":"Organization Studies","id":"ITEM-3","issued":{"date-parts":[["2023","2","10"]]},"note":"Phenomenon: \n-there is a “need for change that can erode or discontinue unsustainable or problematic aspects of institutions while also maintaining what is sacred and valued” \n\n\nRQ: how can organizations deinstitutionalize taken-for-granted practices while also preserving the institution? --&amp;gt; this could be useful for our paper because our RSO is about preserving some of the practices or things that exist in the field while the instituion is in decline \n\nFinding:\n-“repair-focused deinstitutionalization involves deliberately removing unwanted practices and inserting new ones without fundamentally threatening the normative systems and cognitive understandings that underpin the institution”: the values and norms etc\n\nEvidence:\n-explore how trout unlimited deployed visual and discursive tactics to push out unsustainable catch-and-harvest fly fishing practices and insert new catch-and-release practices.\n\n\nContributions:\n-model of repair-focused deinstitutionalization (as opposed to disruption)\n-shows how custodians use forms of work (mending, caring, restoring) to respond to threats\n-the construct of repair is multi-purpose (not limited to maintenance strategies) and can be a catalyst for change\n-uses visuals to show how different modalities present different affordances in longer-term repair efforts\n\nNotes:\n-“deinstitutionalization can be an important vehicle for change”\n-cites Oliver 1992 definition of deinstitutionalization\n-“when change is necessary, but people also want to preserve cherished institutions, we may need to identify avenues that enable us to maintain what is sacred and valued, while simultaneously eroding unsustainable aspects. Efforts to balance preservation with adaptation spotlight some of the possibilities that deinstitutionalization presents for discontinuing unsustainable practices while also responding to societal challenges”\n-deinstitutuonalization has been characterized as a high,y disruptive process but “we suggest deinstitutionalization may also be focused on repairing rather than threatening institutions”\n-a lot of focus on removing unwanted parts of the institution and insertion of the values and meanings that they now want in the custodians’ mending and caring work\n-“repair-focused deinstitutionalization is a form of renewal and pathway to institutional resilience”\n-cite weight and nyberg 2015 to say we can do better than calling fossil fuel industry and people dirty and attacking them: this trout paper outlines an alternative path","title":"From Catch-and-Harvest to Catch-and-Release: Trout Unlimited and Repair-Focused Deinstitutionalization","type":"article-journal"},"uris":["http://www.mendeley.com/documents/?uuid=9d573d0c-f5be-4d96-bd5a-5d6ed5a1b399"]}],"mendeley":{"formattedCitation":"(Casasnovas &amp; Ferraro, 2022; Crawford, Toubiana, &amp; Coslor, 2023; Haxhi, Rivera-Santos, &amp; Rufín, 2024)","plainTextFormattedCitation":"(Casasnovas &amp; Ferraro, 2022; Crawford, Toubiana, &amp; Coslor, 2023; Haxhi, Rivera-Santos, &amp; Rufín, 2024)","previouslyFormattedCitation":"(Casasnovas &amp; Ferraro, 2022; Crawford, Toubiana, &amp; Coslor, 2023; Haxhi, Rivera-Santos, &amp; Rufín, 2024)"},"properties":{"noteIndex":0},"schema":"https://github.com/citation-style-language/schema/raw/master/csl-citation.json"}</w:instrText>
      </w:r>
      <w:r w:rsidR="00523456">
        <w:fldChar w:fldCharType="separate"/>
      </w:r>
      <w:r w:rsidR="00FD0FD8" w:rsidRPr="00FD0FD8">
        <w:rPr>
          <w:noProof/>
        </w:rPr>
        <w:t>(Casasnovas &amp; Ferraro, 2022; Crawford, Toubiana, &amp; Coslor, 2023; Haxhi, Rivera-Santos, &amp; Rufín, 2024)</w:t>
      </w:r>
      <w:r w:rsidR="00523456">
        <w:fldChar w:fldCharType="end"/>
      </w:r>
      <w:r w:rsidR="00523456">
        <w:t>, but less so the moments the institution is in decline.</w:t>
      </w:r>
      <w:r w:rsidR="00523456" w:rsidRPr="00340C47">
        <w:rPr>
          <w:lang w:val="en-CA"/>
        </w:rPr>
        <w:t xml:space="preserve"> </w:t>
      </w:r>
      <w:r w:rsidR="00523456">
        <w:t xml:space="preserve">Many of the institutions that are the focus of prior scholarly work, however, nearly disappeared without a promise of revival at the time: as examples, Dutch beer practices almost went extinct </w:t>
      </w:r>
      <w:r w:rsidR="00523456">
        <w:fldChar w:fldCharType="begin" w:fldLock="1"/>
      </w:r>
      <w:r w:rsidR="00523456">
        <w:instrText>ADDIN CSL_CITATION {"citationItems":[{"id":"ITEM-1","itemData":{"DOI":"10.1177/0001839218817520","ISSN":"19303815","abstract":"Through an in-depth, historically embedded study of the craft revolution in Dutch beer brewing that began in the 1970s, we illuminate how organizational fields may experience regenerative change through the reemergence of traditional arrangements. The remarkable resurgence of craft in this context, following the rapid industrialization of the twentieth century that left only industrially produced pilsner in its wake, serves as the basis of our process theory of regenerative institutional change through logic reemergence. The results of our qualitative analysis show that institutional logics that appear dead or decomposed may never truly die, as they leave remnants behind that field actors can rediscover, repurpose, and reuse at later stages. We show how, in the Netherlands, networks of individuals that had access to the remnants of craft brewing were regenerated, in part fueled by increasing exposure to British, Belgian, and German craft brewing, and how these networks ultimately succeeded in reviving traditional prescriptions for beer and brewing, as well as restoring previously abandoned brewery forms and technologies and beer styles. These activities led not only to a sudden proliferation of alternatives to the dominant industrial pilsner but also to fundamental changes in the meaning and organization of beer brewing, as they were associated with the reinvigoration of institutional orders that preceded those of the corporation and the market. Yet we also observe how, on the ground, remnants of traditional craft often needed to be blended with contemporaneous elements from modern industrialism, as well as foreign representations of craft, to facilitate reemergence. We thus argue that regenerative institutional change likely resembles a dualistic process of restoration and transformation.","author":[{"dropping-particle":"","family":"Kroezen","given":"Jochem J.","non-dropping-particle":"","parse-names":false,"suffix":""},{"dropping-particle":"","family":"Heugens","given":"Pursey P. M. A. R.","non-dropping-particle":"","parse-names":false,"suffix":""}],"container-title":"Administrative Science Quarterly","id":"ITEM-1","issue":"4","issued":{"date-parts":[["2019"]]},"note":"Phenomenon: resurgence of logics long after they appear to have died; regenerative institutional change\n\nExplanation: logics leave remenants &amp;quot;that field actors can rediscover, repurpose, and reuse at later stages.&amp;quot; The networks of individuals who were connected to craft brewing were regenerated and it was these networks the revived traditional beer and brewing, brewery forms, technoogy, and beer styles.\n\nRegenerative institutional change is a dualistic process with restoration and transformation. \n\nThree overlaping stages of logic reemergence (all p 990)\n-‘‘Rediscovering a logic’’ refers to regenerative activities contributing to the recollection of remnants of the decomposed logic by regenerating networks of dormant custodians \n-‘‘Refurbishing a logic’’ involves the relegitimation of these remnants through the regeneration of ideational elements \n-‘‘Reincarnating a logic’’ entails reactivating the remnants of the decomposed institutional logic through the regeneration of material elements \n\nEvidence: Historical case study of the craft Dutch beer revolution that began in the 1970s\n\nNotes:\n-the remnants come in three types of traces: texts, memories, and artifacts\n-the remnants are sometimes activated by custodians: when organziational fields are &amp;quot;first experiencing logic decomposition, such custodians may be visible in rela- tively marginalized positions, from which they continue to conserve alternative ideational and/or material logic elements by adhering to traditional organiza- tional forms and practices&amp;quot; -p982 --&amp;gt; it goes on to explain the roles of the custodians in the other phased of logic decomposition\n-my own thought: it seems like the initial brew pubs were really important spaces for the rememerging logic was able to happen, and then PINT is kind of the same thing \n\nQuestion: what is the role of space in this process?","page":"976-1019","title":"What Is Dead May Never Die: Institutional Regeneration through Logic Reemergence in Dutch Beer Brewing","type":"article-journal","volume":"64"},"uris":["http://www.mendeley.com/documents/?uuid=09ff873c-f8da-45d0-a6e4-1ea3d3b6c673"]}],"mendeley":{"formattedCitation":"(Kroezen &amp; Heugens, 2019)","plainTextFormattedCitation":"(Kroezen &amp; Heugens, 2019)","previouslyFormattedCitation":"(Kroezen &amp; Heugens, 2019)"},"properties":{"noteIndex":0},"schema":"https://github.com/citation-style-language/schema/raw/master/csl-citation.json"}</w:instrText>
      </w:r>
      <w:r w:rsidR="00523456">
        <w:fldChar w:fldCharType="separate"/>
      </w:r>
      <w:r w:rsidR="00523456" w:rsidRPr="0095644C">
        <w:rPr>
          <w:noProof/>
        </w:rPr>
        <w:t>(Kroezen &amp; Heugens, 2019)</w:t>
      </w:r>
      <w:r w:rsidR="00523456">
        <w:fldChar w:fldCharType="end"/>
      </w:r>
      <w:r w:rsidR="00523456">
        <w:t xml:space="preserve">, Eugene, Oregon nearly lost its Track Town USA identity </w:t>
      </w:r>
      <w:r w:rsidR="00523456">
        <w:fldChar w:fldCharType="begin" w:fldLock="1"/>
      </w:r>
      <w:r w:rsidR="00523456">
        <w:instrText>ADDIN CSL_CITATION {"citationItems":[{"id":"ITEM-1","itemData":{"DOI":"10.5465/amj.2010.0778","ISSN":"00014273","abstract":"We build theory on the process of collective identity resurrection through a qualitative study investigating how community members reenergized a valued community identity following years of decline. Our findings suggest a recursive model of identity resurrection, in which community leaders marshal tangible resources such as money and human talent to orchestrate experiences and community members authenticate the experiences by judging them resonant with memories and existing identity symbols. This model draws attention to the role of experience and emotion in identity processes, extending theory that has tended to focus narrowly on cognitive aspects of collective identity. We discuss implications for processes of identity reproduction and resurrection in organizational settings, and for interdependencies between community and organizational identities. © 2013 Academy of Management Journal.","author":[{"dropping-particle":"","family":"Howard-Grenville","given":"Jennifer","non-dropping-particle":"","parse-names":false,"suffix":""},{"dropping-particle":"","family":"Metzger","given":"Matthew L.","non-dropping-particle":"","parse-names":false,"suffix":""},{"dropping-particle":"","family":"Meyer","given":"Alan D.","non-dropping-particle":"","parse-names":false,"suffix":""}],"container-title":"Academy of Management Journal","id":"ITEM-1","issue":"1","issued":{"date-parts":[["2013","2"]]},"note":"Phenomenon\n--how community members reenergized a valued community iden- tity following years of decline\n--what happens when a collective identity fades? Can it be resurrected? &amp;quot;identity resurrection following a period of decline remains an undertheorized process&amp;quot; p.114\n--identity decline: &amp;quot;the structurational mechanisms of identity continuity and potential change have broken down. ... Identity decline occurs when identity claims and understanding gradually lose salience, as a result of not being actively assertd or experienced&amp;quot;p. 116 and this differs from identity drift \n\nExplanation\n--recursive model of identity resurrection, in which community leaders marshal tangible resources such as money and human talent to orchestrate experiences and community members authenticate the experiences by judging them resonant with memories and existing identity sym- bols.\n--the role of experience and emotion in identity processes\n--identity custodian: &amp;quot;an actor who focuses attention, invests time, and exert energy in an effort to sustain a collective identity&amp;quot; p. 119\n--a breakdown of leader actions (smith era, ending on p.127) lead to the continued dismantling of the track town identity for the community\n--&amp;quot;our model explains how a collective identity can be reproduced through recursive interactions between tangible resources ..., intangible resources ..., and experiences that are generated when leaders and members leverage these resources&amp;quot; p. 130\n\nEvidence\n--&amp;quot;we gathered data from interviews, observa- tions, and archives that captured historical and contemporary aspects of Eugene’s identity as Track Town&amp;quot; p.114\n\nContributions\n1. process model of collective identity resurrection that can apply to organizations and communities \n2. experience and emotions are central to identity reproduction and resurection \n3. &amp;quot;extend the literature on community influences on organizations and or- ganizing practices, which so far has foregrounded economic (Freeman &amp;amp; Audia, 2006; Romanelli &amp;amp; Khessina, 2005) and social structural (Marquis, 2003) explanations. We argue that a place-based configuration of human inhabitants, experienced emotions, sagas, and symbols can coalesce to trans- form a region into a beloved place steeped in sym- bolic meanings. Closer attention to this aspect of community identity can yield insight into how in- teractions between communities and organizations generate and transform meanings (Marquis &amp;amp; Batti- lana, 2009).&amp;quot; p. 114\n\nNotes \n--&amp;quot;A regional community offers an “extreme case” for building the- ory about identity resurrection (Eisenhardt, 1989) be- cause top-down leadership, a key source of continu- ity and renewal for organizational identities (Whetten, 2006), may be weak or absent in commu- nities (King et al 2010)&amp;quot; p.114\n--&amp;quot;Expriences and emotions &amp;quot;reload&amp;quot; the symbolic memory bank by adding fresh accounts and new memories that become future identity referents&amp;quot; p. 114\n--&amp;quot;popular acceptance of a community’s identity, much like that of an organiza- tion’s identity, depends on achieving some fidelity between the claims of community leaders and the beliefs ofmembers and nonmembers (Dutton &amp;amp; Duke- rich, 1991; Hsu &amp;amp; Hannan, 2005)&amp;quot; p. 115\n--for communities, leaders' actions might be necessary to prevent loss of the salience of an identity \n--track town identity distinctiveness came from community engagement in the sport all the way through via a relational system, and a sustained pattern of events that created a unique track experience and emotional response \n-","page":"113-136","title":"Rekindling the flame: Processes of identity resurrection","type":"article-journal","volume":"56"},"uris":["http://www.mendeley.com/documents/?uuid=da6dbaf9-16bb-4a0b-b55a-a76e8cdff748"]}],"mendeley":{"formattedCitation":"(Howard-Grenville et al., 2013)","plainTextFormattedCitation":"(Howard-Grenville et al., 2013)","previouslyFormattedCitation":"(Howard-Grenville et al., 2013)"},"properties":{"noteIndex":0},"schema":"https://github.com/citation-style-language/schema/raw/master/csl-citation.json"}</w:instrText>
      </w:r>
      <w:r w:rsidR="00523456">
        <w:fldChar w:fldCharType="separate"/>
      </w:r>
      <w:r w:rsidR="00523456" w:rsidRPr="00653302">
        <w:rPr>
          <w:noProof/>
        </w:rPr>
        <w:t>(Howard-Grenville et al., 2013)</w:t>
      </w:r>
      <w:r w:rsidR="00523456">
        <w:fldChar w:fldCharType="end"/>
      </w:r>
      <w:r w:rsidR="00523456">
        <w:t xml:space="preserve">, and the residents of South Bend, Indiana spent many years resenting the closed Studebaker Corporation automotive factory </w:t>
      </w:r>
      <w:r w:rsidR="00523456">
        <w:fldChar w:fldCharType="begin" w:fldLock="1"/>
      </w:r>
      <w:r w:rsidR="00FD0FD8">
        <w:instrText>ADDIN CSL_CITATION {"citationItems":[{"id":"ITEM-1","itemData":{"DOI":"10.1177/0170840618765573","ISSN":"0170-8406","abstract":"In this paper, we explain how defunct organizations influence the communities they leave behind through ongoing processes of communal memory work, a twofold social process through which members of collectives develop shared memories of a defunct organization and behaviorally engage with its mnemonic traces. We explore how individuals’ shared construal of their environment shapes their emotional orientation towards their past, which in turn gives rise to particular forms of memory work. We further show how communal memory work influences changes in an organization’s role in a community’s identity and members’ construal of their environment. We develop our theory through an analysis of a case study of South Bend, Indiana, in the 54 years following the closure of the Studebaker Corporation’s automotive factory in 1963. We close by discussing the implications of this work for memory scholarship.","author":[{"dropping-particle":"","family":"Do","given":"Boram","non-dropping-particle":"","parse-names":false,"suffix":""},{"dropping-particle":"","family":"Lyle","given":"Matthew C. B.","non-dropping-particle":"","parse-names":false,"suffix":""},{"dropping-particle":"","family":"Walsh","given":"Ian J.","non-dropping-particle":"","parse-names":false,"suffix":""}],"container-title":"Organization Studies","id":"ITEM-1","issue":"9","issued":{"date-parts":[["2019","9","22"]]},"note":"RQ:\n--how do defunt organizations influence the communities they leave behind? --&amp;gt; How do memories of defunct organizations impact the communities they once inhabited? \n\nExplanation: \n--they do this through communal memory work\n--communal memory work is a &amp;quot;twofold social process through which members of collectives develop shared memories of a defunt organziation and behaviorlly engage with its mnemonic traces&amp;quot; p. 1\n--&amp;quot;individuals shared construal of environment shapes their emotional orientation towards past, which gives rise to particular forms of memory work. ... communal memory worrk influences changes in an organizaiton's role in a community's identity and members' construal of their environment.&amp;quot; p.1\n\nEvidence:\n--Studebaker Corporation's automotive factory closed in South Bend, Indiana in 1963, this is a a case study of that community 54 years later\n--qualitative data Is used from the 54 year period, 1963 to 2017, following the closure of the operations\n--just three years after closing the plant, Studebaker dissolved its business\n--106 interview transcripts (96 from previous studies), 2880 articles published between November 1963 and October 2017\n--15 television news reports filmed between 1963-2017\n--website data, museum data (displays and archival data), three history journal articels and five books\n\nFindings:\n--there were three distinct through which the community went through the process of being adverse to the organization through to embracing it as a part of the community's identity --&amp;gt; these three periods are aftermath, bargaining, and celebrating\n--&amp;quot;each period was characterized by a marked change in how communities members construed their environment. These construals engendered affective responses...&amp;quot;p.7\n--the shifting emotions throughout time are what shifted the inflination of members to engage in different forms of communal memory work \n--first, &amp;quot;For several years after the closure, nostophobia induced members of the community to characterize Studebaker in negative terms.&amp;quot; p.10\n--Second, &amp;quot;As Studebaker’s mnemonic traces were culled from the landscape and supplanted by those of other South Bend-based organizations, residents started to think about the community in more optimistic terms&amp;quot; p.12. During this time there was anger but also people who were worried that losing buildings would result in the community loosing their identity. --&amp;gt;&amp;quot;Studebaker’s treatment in public discourse suggested an emerging consensus that it had an enduring role in the community’s identity, though some were less willing to consider it central and distinctive&amp;quot; p.15\n--third and finally, nostalgia took over which was bolstered by generational changes in community. during this time, tech advancement (including social media) became important outlets for positive discussion of the plant\n--&amp;quot;As the value of an organization becomes more well understood, members of the community more readily experience nostalgia, impelling them to engage in further communal memory work through which they commemorate the organization and fortify its mnemonic traces&amp;quot; p.18\n\nNotes:\n--Tackles the tacit assumption that an organizations influence on a community is bounded by an active involvement in the community (Lounsbury and Marquis two cities is an exmaple of this assumption); this article shows that organizations influence communitites from &amp;quot;beyond the grave&amp;quot;\n--mnemonic traces are visible reminders of the past\n--mnemonic traces are what help the community remember the organization and the community draws some identity from these traces\n--when the plant first closed, many of the workers blamed the plant / company leaders\n--communal memory work will be a core mechanism by which communities carry forth memories of defunct organizations\n--Importanty, &amp;quot;memories of defunct organizations have the potential to change and lead to more positive outcomes, such as commemorating the past&amp;quot; p. 19","page":"1307-1329","title":"Driving down memory lane: The influence of memories in a community following organizational demise","type":"article-journal","volume":"40"},"uris":["http://www.mendeley.com/documents/?uuid=3dcb17a1-89b0-491f-8ecd-200093fdfd3d"]}],"mendeley":{"formattedCitation":"(Do, Lyle, &amp; Walsh, 2019)","plainTextFormattedCitation":"(Do, Lyle, &amp; Walsh, 2019)","previouslyFormattedCitation":"(Do et al., 2019)"},"properties":{"noteIndex":0},"schema":"https://github.com/citation-style-language/schema/raw/master/csl-citation.json"}</w:instrText>
      </w:r>
      <w:r w:rsidR="00523456">
        <w:fldChar w:fldCharType="separate"/>
      </w:r>
      <w:r w:rsidR="00FD0FD8" w:rsidRPr="00FD0FD8">
        <w:rPr>
          <w:noProof/>
        </w:rPr>
        <w:t>(Do, Lyle, &amp; Walsh, 2019)</w:t>
      </w:r>
      <w:r w:rsidR="00523456">
        <w:fldChar w:fldCharType="end"/>
      </w:r>
      <w:r w:rsidR="00523456">
        <w:t>.</w:t>
      </w:r>
      <w:r w:rsidR="00FD0FD8">
        <w:t xml:space="preserve"> </w:t>
      </w:r>
    </w:p>
    <w:p w14:paraId="049387A2" w14:textId="67E66DB4" w:rsidR="00523456" w:rsidRPr="00FD0FD8" w:rsidRDefault="00523456" w:rsidP="00FD0FD8">
      <w:pPr>
        <w:ind w:firstLine="720"/>
      </w:pPr>
      <w:r>
        <w:rPr>
          <w:lang w:val="en-CA"/>
        </w:rPr>
        <w:t xml:space="preserve">What these studies have in common is a connection between the institutional infrastructure and survival of the institution. </w:t>
      </w:r>
      <w:r>
        <w:t>Yet despite a clear connection there is an incomplete understanding of</w:t>
      </w:r>
      <w:r w:rsidRPr="00035271">
        <w:t xml:space="preserve"> </w:t>
      </w:r>
      <w:r>
        <w:t>the role of</w:t>
      </w:r>
      <w:r w:rsidRPr="00035271">
        <w:t xml:space="preserve"> </w:t>
      </w:r>
      <w:r>
        <w:t>institutional infrastructure</w:t>
      </w:r>
      <w:r w:rsidRPr="00035271">
        <w:t xml:space="preserve"> </w:t>
      </w:r>
      <w:r>
        <w:t xml:space="preserve">in bolstering or attenuating institutions. To look at this, I explore how the institutional infrastructure is maintained but looking at a case where it is not. Through an in-depth, longitudinal case study of a community in decline following the closure of nearby coal mines and power plants, I ask the question: </w:t>
      </w:r>
      <w:r>
        <w:rPr>
          <w:i/>
          <w:iCs/>
          <w:lang w:val="en-CA"/>
        </w:rPr>
        <w:t>why does an actor fail to work on the institutional infrastructure of an institution it relies on</w:t>
      </w:r>
      <w:r w:rsidRPr="00035271">
        <w:rPr>
          <w:i/>
          <w:iCs/>
          <w:lang w:val="en-CA"/>
        </w:rPr>
        <w:t>?</w:t>
      </w:r>
      <w:r>
        <w:rPr>
          <w:i/>
          <w:iCs/>
          <w:lang w:val="en-CA"/>
        </w:rPr>
        <w:t xml:space="preserve"> </w:t>
      </w:r>
      <w:r>
        <w:t xml:space="preserve"> </w:t>
      </w:r>
    </w:p>
    <w:p w14:paraId="5739C46B" w14:textId="4BA44793" w:rsidR="007775D5" w:rsidRDefault="00AA73FF" w:rsidP="00523456">
      <w:pPr>
        <w:ind w:firstLine="720"/>
        <w:rPr>
          <w:lang w:val="en-CA"/>
        </w:rPr>
      </w:pPr>
      <w:r>
        <w:rPr>
          <w:lang w:val="en-CA"/>
        </w:rPr>
        <w:t xml:space="preserve">To address this question, </w:t>
      </w:r>
      <w:r w:rsidR="00CF19E2">
        <w:rPr>
          <w:lang w:val="en-CA"/>
        </w:rPr>
        <w:t>I take the perspective that s</w:t>
      </w:r>
      <w:r w:rsidR="00CF19E2" w:rsidRPr="00035271">
        <w:rPr>
          <w:lang w:val="en-CA"/>
        </w:rPr>
        <w:t xml:space="preserve">tructural weaknesses, or eroded holes, in institutional infrastructure are empirically observable as closure. </w:t>
      </w:r>
      <w:r w:rsidR="00CF19E2">
        <w:t>I understand deinstitutionalization as the erosion, discontinuity</w:t>
      </w:r>
      <w:r w:rsidR="00D737E8">
        <w:t>,</w:t>
      </w:r>
      <w:r w:rsidR="00CF19E2">
        <w:t xml:space="preserve"> or decline of an institution </w:t>
      </w:r>
      <w:r w:rsidR="00CF19E2">
        <w:fldChar w:fldCharType="begin" w:fldLock="1"/>
      </w:r>
      <w:r w:rsidR="007775D5">
        <w:instrText>ADDIN CSL_CITATION {"citationItems":[{"id":"ITEM-1","itemData":{"DOI":"10.2189/asqu.2009.54.4.635","ISSN":"0001-8392","abstract":"In this paper, we examine the dual role that social movement organizations can play in altering organizational landscapes by undermining existing organizations and creating opportunities for the growth of new types of organizations. Empirically, we investigate the impact of a variety of tactics employed by the Woman’s Christian Temperance Union (WCTU), the leading organizational representative of the American temperance movement, on two sets of organizations: breweries and soft drink producers. By delegitimating alcohol consumption, altering attitudes and beliefs about drinking, and promoting temperance legislation, the WCTU contributed to brewery failures. These social changes, in turn, created opportunities for entrepreneurs to found organizations producing new kinds of beverages by creating demand for alternative beverages, providing rationales for entrepreneurial action, and increasing the availability of necessary resources.","author":[{"dropping-particle":"","family":"Hiatt","given":"Shon R.","non-dropping-particle":"","parse-names":false,"suffix":""},{"dropping-particle":"","family":"Sine","given":"Wesley D.","non-dropping-particle":"","parse-names":false,"suffix":""},{"dropping-particle":"","family":"Tolbert","given":"Pamela S.","non-dropping-particle":"","parse-names":false,"suffix":""}],"container-title":"Administrative Science Quarterly","id":"ITEM-1","issued":{"date-parts":[["2009"]]},"note":"Phenomenon:\n--&amp;quot;we examine the dual role that social movement organizations can play in altering organizational landscapes by undermining existing organizations and creating opportunities for the growth of new types of organizations&amp;quot; p. 635\n--&amp;quot;Little research has directly linked particular social movement activities to changes in the institutional environment and to organizational outcomes, including the decline of existing organizational forms, the spread of new forms, and relations between new and old forms.&amp;quot; p.636\n--&amp;quot;Thus social movement organizations not only respond to political and economic opportunities, they can also create them&amp;quot; p. 660\n\nExplanation\n--a social movement organization (WCTU) contributed to the failure of breweries by delegitimating the consumption of alcohol. At the same time, their activites caused market pulls and an ideologial push that made for more entreprenurial opportunities in the soft drink industry - these opportunities were available regardless of whether the entrepreneurs shared the temperance movement values\n--&amp;quot;As social movement organizations deinstitutionalize existing organizational forms by altering the normative, cognitive, and regulative environments, they inadvertently reduce barriers to entry for new entrepreneurial forms by (a) increasing the availability of needed resources, (b) changing the nature of relations between sets of organizations, and (c) diminishing the ability of competitors to compete.&amp;quot; p.648\n\nEvidence\n--&amp;quot;Empirically, we investigate the impact of a variety of tactics employed by the Woman’s Christian Temperance Union (WCTU), the leading organizational representative of the American temperance movement, on two sets of organizations: breweries and soft drink producers&amp;quot; p. 635\n--survival analysis --&amp;gt; could read section more thoroughly for more information\n\nNotes\n--&amp;quot;social movement organizations can encourage entrepreneurial activity (some- times inadvertently) by encouraging shifts in resources from one set of activities to new activities&amp;quot; p.644\n--a tension in this paper is AMA being against pharmasists, who could have easily been aligned with soft drinks as well as with beer --&amp;gt; AMA is against beer/alcohol\n\nHypotheses:\n--Hypothesis 1a: Increases in the proportion of WCTU members in a state will increase brewery failures. --&amp;gt; supported \n--Hypothesis 1b: Increases in the number of AMA members in a state will enhance the effects of WCTU membership on brewery failure. --&amp;gt; supported\n--Hypothesis 1c: Increases in the percentage of adjoining states with prohibition laws will enhance the effects of WCTU membership on brewery failure in a focal state. --&amp;gt; supported\n--Hypothesis 2: State adoption of scientifi c temperance instruction will increase brewery failures. --&amp;gt; supported\n--Hypothesis 3: The passage of prohibition regulation by counties and states will increase brewery failures. --&amp;gt; strongly supported\n--Hypothesis 4: Increases in the proportion of WCTU members in a state will increase soft drink fi rm foundings. --&amp;gt; not supported\n--Hypothesis 5: State adoption of scientifi c temperance instruction will increase soft drink fi rm foundings. --&amp;gt; supported\n--Hypothesis 6: The passage of prohibition regulation by counties and states will increase soft drink fi rm foundings. --&amp;gt; supported\n--Hypothesis 7: Net of the effects of the proportion of WCTU membership, scientifi c temperance instruction programs, and prohibition regulation, brewery failures will increase soft drink fi rm foundings in a focal state. --&amp;gt; supported","page":"635-667","title":"From Pabst to Pepsi : The Deinstitutionalization of social practices and the creation of entrepreneurial opportunities","type":"article-journal","volume":"54"},"uris":["http://www.mendeley.com/documents/?uuid=94b1c2f9-d203-4171-80e7-6490a40c8771"]},{"id":"ITEM-2","itemData":{"DOI":"10.5465/annals.2019.0102","ISSN":"1941-6520","abstract":"The diffusion of organizational practices remains a central concern for scholars from diverse disciplines and backgrounds. We assess the most recent 20 years of research on inter-organizational diffusion to establish findings that are now conclusive and identify important questions or areas of research that remain unaddressed. We identify five key issues with the literature, which are largely a consequence of viewing diffusion as a source of homogeneity across organizations. We further propose a point of view that calls for a more fundamental reorientation of diffusion research. Our main contention is that researchers have focused on diffusion processes as producing similarities among organizations but have overlooked theoretical and empirical indications that diffusion processes often create and sustain differences among organizations. We seek to draw attention to this omission, demonstrate its significance, and make a case for a reorientation of diffusion research. In doing so, we hope to advance a more realistic future research agenda that considers diffusion as a source of both homogeneity and heterogeneity across organizations.","author":[{"dropping-particle":"","family":"Naumovska","given":"Ivana","non-dropping-particle":"","parse-names":false,"suffix":""},{"dropping-particle":"","family":"Gaba","given":"Vibha","non-dropping-particle":"","parse-names":false,"suffix":""},{"dropping-particle":"","family":"Greve","given":"Henrich R.","non-dropping-particle":"","parse-names":false,"suffix":""}],"container-title":"Academy of Management Annals","id":"ITEM-2","issue":"2","issued":{"date-parts":[["2021"]]},"note":"—article identifies 5 key issues with the literature: \n1.isomorphism is assumed to happen but there isn’t strong evidence for it (just assumption of it happening)\n2.adoption is assumed to be binary (yes/no) but there is actually heterogeneity in how practices are adopted \n3.focus has been on multi-practice adoption (but sometimes organizations adopt some but not all practices)\n4.adoption is assumed to continue and there isn’t enough work on abandonment\n5.diffusion is more complex than addictive network variables have measured\n—&amp;gt; the issues are consequences of understanding diffusion as a source of homogeneity across organizations\n—researchers have focused on decision processes as producing similarities among organizations, but this article argues that the fusion actually creates and sustains differences among organizations as well.\n—Diffusion happens because of legitimation (institutional theory), organizational learning (Carnegie school), social influence (network perspective), competition (competitive dynamics perspective), learning (economics), and some articles about social movements but these were all also about institutional theory. \n—only 10 studies look at practice abandonment\n—abandonment is not a well studied phenomenon in diffusion\n—the proportion of adopters of practice by the end of the study is important —&amp;gt; most diffusion studies show that overall not every adopts and a low proportion of adopters is more common than a high proportion\n—decoupling (organizations decouple operational practices from organizational operations by creating a gap between adoption and implementation; idea is from Meyer and Rowan (1997)) is a source of heterogeneity among organizations\n—most diffusion studies look at announcement of practice adoption but don’t look at whether it is implemented\n—most existing work on diffusion doesn’t go beyond the adoption event and “relies on the strong assumption that diffusion continues rather than being dampened by organizational heterogeneity, poor performance outcomes, or contestation by institutional actors. … research has (implicitly) downplayed organizational variation in adopted practices and incomplete diffusion processes.” p. 20 \n—practices are heterogeneous but most studies record adoption as a binary event (see page 21)\n—“By disregarding abandonment, studies may exaggerate the evidence for isomorphism” p.24\n—this paper suggests that there may be sequential adoptions and abandonment\n—heterogeneity in diffusion can come from embeddedness of organization in local communities, differential understanding of the practice by the adopting community, resistance and adaption of practices in different contexts, abandonment, and resistance in general from the organization\n\nInteresting Future Directions\n—when there are multiple diffusing practices, look at how each adoption affects propensity for others’ adoption\n—when there are social pressures, organizations may adopt legitimacy conferring practices that are costly are undesirable, also they may not reveal that they’ve adopted something\n—also anything understanding of partial adoption and post-adoption modification\n—revisit Strang and Tuma’s 1993 work on spatial and temporal heterogeneity in diffusion processes\n—Levitt and March (1988) say there’s little known about the diffusion of secrets (practices other don’t know exists or don’t know their advantages)\n—research on controversial practices, skepticism of organizations of the practice, or misconduct (and stigma)\n\n—“widespread use of a practice in one sphere does not coincide with or lead to acceptance in other spheres “- Naumskova et al cite Fiss et al 2012, 4","page":"377-405","title":"The Diffusion of Differences: A Review and Reorientation of 20 Years of Diffusion Research","type":"article-journal","volume":"15"},"uris":["http://www.mendeley.com/documents/?uuid=15b02244-1be2-4ac4-99ce-3f9ee335600f"]},{"id":"ITEM-3","itemData":{"DOI":"10.1177/017084069201300403","ISSN":"0170-8406","abstract":"Deinstitutionalization refers here to the erosion or discontinuity of an institution alized organizational activity or practice. This paper identifies a set of organiza tional and environmental factors that are hypothesized to determine the likelihood that institutionalized organizational behaviours will be vulnerable to erosion or rejection over time. Contrary to the emphasis in institutional theory on the cultural persistence and endurance of institutionalized organizational behaviours, it is suggested that, under a variety of conditions, these behaviours will be highly susceptible to dissipation, rejection or replacement. © 1992, Sage Publications. All rights reserved.","author":[{"dropping-particle":"","family":"Oliver","given":"Christine","non-dropping-particle":"","parse-names":false,"suffix":""}],"container-title":"Organization Studies","id":"ITEM-3","issue":"4","issued":{"date-parts":[["1992","10","30"]]},"page":"563-588","title":"The Antecedents of Deinstitutionalization","type":"article-journal","volume":"13"},"uris":["http://www.mendeley.com/documents/?uuid=02cbd9ea-5d70-4a81-8b31-e00c39a1978b"]}],"mendeley":{"formattedCitation":"(Hiatt, Sine, &amp; Tolbert, 2009; Naumovska, Gaba, &amp; Greve, 2021; Oliver, 1992)","plainTextFormattedCitation":"(Hiatt, Sine, &amp; Tolbert, 2009; Naumovska, Gaba, &amp; Greve, 2021; Oliver, 1992)","previouslyFormattedCitation":"(Hiatt, Sine, &amp; Tolbert, 2009; Naumovska, Gaba, &amp; Greve, 2021; Oliver, 1992)"},"properties":{"noteIndex":0},"schema":"https://github.com/citation-style-language/schema/raw/master/csl-citation.json"}</w:instrText>
      </w:r>
      <w:r w:rsidR="00CF19E2">
        <w:fldChar w:fldCharType="separate"/>
      </w:r>
      <w:r w:rsidR="00CF19E2" w:rsidRPr="003C6B18">
        <w:rPr>
          <w:noProof/>
        </w:rPr>
        <w:t>(Hiatt, Sine, &amp; Tolbert, 2009; Naumovska, Gaba, &amp; Greve, 2021; Oliver, 1992)</w:t>
      </w:r>
      <w:r w:rsidR="00CF19E2">
        <w:fldChar w:fldCharType="end"/>
      </w:r>
      <w:r w:rsidR="00CF19E2">
        <w:t xml:space="preserve">. </w:t>
      </w:r>
      <w:r w:rsidR="00CF19E2">
        <w:rPr>
          <w:lang w:val="en-CA"/>
        </w:rPr>
        <w:t xml:space="preserve">Closure is the observable </w:t>
      </w:r>
      <w:r w:rsidR="009F25A3">
        <w:rPr>
          <w:lang w:val="en-CA"/>
        </w:rPr>
        <w:t>event,</w:t>
      </w:r>
      <w:r w:rsidR="00CF19E2">
        <w:rPr>
          <w:lang w:val="en-CA"/>
        </w:rPr>
        <w:t xml:space="preserve"> an outcome and source of erosion. Erosion is the process of attrition of institutional </w:t>
      </w:r>
      <w:r w:rsidR="00CF19E2">
        <w:rPr>
          <w:lang w:val="en-CA"/>
        </w:rPr>
        <w:lastRenderedPageBreak/>
        <w:t>infrastructure</w:t>
      </w:r>
      <w:r w:rsidR="00151EDB">
        <w:rPr>
          <w:lang w:val="en-CA"/>
        </w:rPr>
        <w:t xml:space="preserve">, including the disappearance of meanings, practices, identities, </w:t>
      </w:r>
      <w:r w:rsidR="009F25A3">
        <w:rPr>
          <w:lang w:val="en-CA"/>
        </w:rPr>
        <w:t xml:space="preserve">and </w:t>
      </w:r>
      <w:r w:rsidR="00151EDB">
        <w:rPr>
          <w:lang w:val="en-CA"/>
        </w:rPr>
        <w:t xml:space="preserve">governance mechanisms </w:t>
      </w:r>
      <w:r w:rsidR="00151EDB">
        <w:rPr>
          <w:lang w:val="en-CA"/>
        </w:rPr>
        <w:fldChar w:fldCharType="begin" w:fldLock="1"/>
      </w:r>
      <w:r w:rsidR="00FD0FD8">
        <w:rPr>
          <w:lang w:val="en-CA"/>
        </w:rPr>
        <w:instrText>ADDIN CSL_CITATION {"citationItems":[{"id":"ITEM-1","itemData":{"DOI":"10.5465/annals.2014.0052","ISSN":"1941-6520","abstract":"The concept of an institutional field is one of the cornerstones of institutional theory, and yet the concept has been stretched both theoretically and empirically, making consoli- dation of findings across multiple studies more difficult. In this article, we review the literature and analyze empirical studies of institutional fields to build scaffolding for the cumulation of research on institutional fields. Our review revealed two types of fields: exchange and issue fields, with three subtypes of each. We describe their characteristics, and subsequently, review field conditions in the extant literature and develop a typology based on two dimensions: the extent of elaboration of institutional infrastructure and the extent to which there is an agreed-upon prioritization of logics. We discuss the impli- cations of field types and conditions for isomorphism, agency, and field change, based on a review of the literature that revealed six pathways of field change and the factors affecting them. We outline a research agenda based on our review highlighting the need for consolidation of field studies and identify several outstanding issues that are in need of further research.","author":[{"dropping-particle":"","family":"Zietsma","given":"Charlene","non-dropping-particle":"","parse-names":false,"suffix":""},{"dropping-particle":"","family":"Groenewegen","given":"Peter","non-dropping-particle":"","parse-names":false,"suffix":""},{"dropping-particle":"","family":"Logue","given":"Danielle M.","non-dropping-particle":"","parse-names":false,"suffix":""},{"dropping-particle":"","family":"Hinings","given":"C. R. (Bob)","non-dropping-particle":"","parse-names":false,"suffix":""}],"container-title":"Academy of Management Annals","id":"ITEM-1","issue":"1","issued":{"date-parts":[["2017","1"]]},"note":"Gist: Overall about field differences. Institutional fields change and there are different types of fields. this article starts be outining typologizes the various types of fields according to why they formed, how settled they are, which actors are important. The second half is about institutional change. Periodocity and pace of change are areas for future research. There are six common pathways for field level change (p.417) \n---good summary is in conclusion, page 419----\n\nExplanation: there are different types of fields and these are important. Population fields and exchange fields are two different types.\n\nPopulation field : populations are organziatons that are relatively alike (same organziatoinal form or identity) in terms of their environment and what in the environment affects them (page 396 - not a direct quote)\n\nExchange fields have a focal population of actors that have exchange or interaction partners (this makes up the field, and follows DiMaggio and Powell). This article looks at three types: industry, professional, and social movement. \n\nIssue field: competitive issues fields (when one group of actors attempts to change meanings or practices in an exchange field - p400), interstitial issues field (brought together by a common issue or interest), and bridging issues fields (inherently cross-jurisdictional and will remain so over time -p402)\n\nTriggers for change -- change can happen suddenly or gradually (page 413)\n\nFrom page 393: Fields only exist to the extent that they are institutionally defined (DiMaggio &amp;amp; Powell, 1983). According to them, the process of institutional definition, or “structuration,” consists of four elements: an increase in the extent of interaction among organizations in the field, implying a network and a boundary; the emergence of sharply defined interorganizational patterns of domination and coalition, implying status hierarchies among actors; an increase in the information load with which organizations in a field must contend, implying shared meanings and practices among field members; and the development of a mutual awareness among participants in a set of organizations that they are involved in a common enterprise, implying shared identity. Scott (2014) adds other indicators of structuration, including the extent of agreement on institutional logics, defined as the “set of material practices and symbolic constructions” (Friedland &amp;amp; Alford, 1991:248) that prescribe behavior within fields (Thornton, Ocasio, &amp;amp; Lounsbury, 2012), isomorphism of organizational forms, and greater clarity of organizational boundaries.\n-Bordieu also has a definion of what a field is, which has more to do with materials\n\nMore research should be done about how fields interact, in part because this would be helpful for dealing with societal problems, which are wicked in nature.\n\nWhat is the difference between an organziational field and an institutional field? What about a field and an institution?\n\n--when you're writting papers you have to look and see if the source that you're looking at is also muddled up and then use some paper with some defintion to justify your own \n--bordieu is geneologically the starting point for the idea of fields \n\n--internal insittuions of the field are different for each fields are different to each field","page":"391-450","title":"Field or Fields? Building the Scaffolding for Cumulation of Research on Institutional Fields","type":"article-journal","volume":"11"},"uris":["http://www.mendeley.com/documents/?uuid=b899aee3-c609-48f8-92b4-5ce8a78cf3a3"]}],"mendeley":{"formattedCitation":"(Zietsma, Groenewegen, Logue, &amp; Hinings, 2017)","plainTextFormattedCitation":"(Zietsma, Groenewegen, Logue, &amp; Hinings, 2017)","previouslyFormattedCitation":"(Zietsma, Groenewegen, Logue, &amp; Hinings, 2017)"},"properties":{"noteIndex":0},"schema":"https://github.com/citation-style-language/schema/raw/master/csl-citation.json"}</w:instrText>
      </w:r>
      <w:r w:rsidR="00151EDB">
        <w:rPr>
          <w:lang w:val="en-CA"/>
        </w:rPr>
        <w:fldChar w:fldCharType="separate"/>
      </w:r>
      <w:r w:rsidR="00FD0FD8" w:rsidRPr="00FD0FD8">
        <w:rPr>
          <w:noProof/>
          <w:lang w:val="en-CA"/>
        </w:rPr>
        <w:t>(Zietsma, Groenewegen, Logue, &amp; Hinings, 2017)</w:t>
      </w:r>
      <w:r w:rsidR="00151EDB">
        <w:rPr>
          <w:lang w:val="en-CA"/>
        </w:rPr>
        <w:fldChar w:fldCharType="end"/>
      </w:r>
      <w:r w:rsidR="00CF19E2">
        <w:rPr>
          <w:lang w:val="en-CA"/>
        </w:rPr>
        <w:t xml:space="preserve">. </w:t>
      </w:r>
    </w:p>
    <w:p w14:paraId="1AD76B34" w14:textId="57B95D7C" w:rsidR="006202D3" w:rsidRDefault="00D737E8" w:rsidP="00523456">
      <w:pPr>
        <w:ind w:firstLine="720"/>
      </w:pPr>
      <w:r>
        <w:rPr>
          <w:lang w:val="en-CA"/>
        </w:rPr>
        <w:t xml:space="preserve">Empirically, </w:t>
      </w:r>
      <w:r w:rsidR="00CF19E2" w:rsidRPr="00035271">
        <w:rPr>
          <w:lang w:val="en-CA"/>
        </w:rPr>
        <w:t xml:space="preserve">I study how </w:t>
      </w:r>
      <w:proofErr w:type="spellStart"/>
      <w:r w:rsidR="00CF19E2">
        <w:rPr>
          <w:lang w:val="en-CA"/>
        </w:rPr>
        <w:t>Wabamun</w:t>
      </w:r>
      <w:proofErr w:type="spellEnd"/>
      <w:r w:rsidR="00CF19E2">
        <w:rPr>
          <w:lang w:val="en-CA"/>
        </w:rPr>
        <w:t xml:space="preserve">, </w:t>
      </w:r>
      <w:r w:rsidR="00CF19E2" w:rsidRPr="00035271">
        <w:rPr>
          <w:lang w:val="en-CA"/>
        </w:rPr>
        <w:t>Alberta</w:t>
      </w:r>
      <w:r w:rsidR="00CF19E2">
        <w:rPr>
          <w:lang w:val="en-CA"/>
        </w:rPr>
        <w:t>,</w:t>
      </w:r>
      <w:r w:rsidR="00CF19E2" w:rsidRPr="00035271">
        <w:rPr>
          <w:lang w:val="en-CA"/>
        </w:rPr>
        <w:t xml:space="preserve"> </w:t>
      </w:r>
      <w:r w:rsidR="00CF19E2">
        <w:rPr>
          <w:lang w:val="en-CA"/>
        </w:rPr>
        <w:t>has been and continues to respond</w:t>
      </w:r>
      <w:r w:rsidR="00CF19E2" w:rsidRPr="00035271">
        <w:rPr>
          <w:lang w:val="en-CA"/>
        </w:rPr>
        <w:t xml:space="preserve"> </w:t>
      </w:r>
      <w:r w:rsidR="00CF19E2">
        <w:rPr>
          <w:lang w:val="en-CA"/>
        </w:rPr>
        <w:t>to</w:t>
      </w:r>
      <w:r w:rsidR="00CF19E2" w:rsidRPr="00035271">
        <w:rPr>
          <w:lang w:val="en-CA"/>
        </w:rPr>
        <w:t xml:space="preserve"> </w:t>
      </w:r>
      <w:r w:rsidR="00CF19E2">
        <w:rPr>
          <w:lang w:val="en-CA"/>
        </w:rPr>
        <w:t xml:space="preserve">the decommissioning of </w:t>
      </w:r>
      <w:r>
        <w:rPr>
          <w:lang w:val="en-CA"/>
        </w:rPr>
        <w:t xml:space="preserve">nearby </w:t>
      </w:r>
      <w:r w:rsidR="00CF19E2">
        <w:rPr>
          <w:lang w:val="en-CA"/>
        </w:rPr>
        <w:t>coal power plants. This community has faced multiple closures</w:t>
      </w:r>
      <w:r w:rsidR="008F05EC">
        <w:rPr>
          <w:lang w:val="en-CA"/>
        </w:rPr>
        <w:t>: i</w:t>
      </w:r>
      <w:r w:rsidR="00CF19E2" w:rsidRPr="00035271">
        <w:rPr>
          <w:lang w:val="en-CA"/>
        </w:rPr>
        <w:t xml:space="preserve">n less than two decades, the community </w:t>
      </w:r>
      <w:r w:rsidR="00CF19E2">
        <w:rPr>
          <w:lang w:val="en-CA"/>
        </w:rPr>
        <w:t>went</w:t>
      </w:r>
      <w:r w:rsidR="00CF19E2" w:rsidRPr="00035271">
        <w:rPr>
          <w:lang w:val="en-CA"/>
        </w:rPr>
        <w:t xml:space="preserve"> from a booming coal town to </w:t>
      </w:r>
      <w:r w:rsidR="009F25A3">
        <w:rPr>
          <w:lang w:val="en-CA"/>
        </w:rPr>
        <w:t>loosing</w:t>
      </w:r>
      <w:r w:rsidR="00CF19E2" w:rsidRPr="00035271">
        <w:rPr>
          <w:lang w:val="en-CA"/>
        </w:rPr>
        <w:t xml:space="preserve"> </w:t>
      </w:r>
      <w:r w:rsidR="00CF19E2">
        <w:rPr>
          <w:lang w:val="en-CA"/>
        </w:rPr>
        <w:t xml:space="preserve">virtually </w:t>
      </w:r>
      <w:r w:rsidR="00CF19E2" w:rsidRPr="00035271">
        <w:rPr>
          <w:lang w:val="en-CA"/>
        </w:rPr>
        <w:t xml:space="preserve">all coal-related economic infrastructure. </w:t>
      </w:r>
      <w:r w:rsidR="00BE2687">
        <w:t>Table 1 contains a summary of the data collected so far</w:t>
      </w:r>
      <w:r w:rsidR="009645FB">
        <w:t xml:space="preserve"> for this multi-year observational case study</w:t>
      </w:r>
      <w:r w:rsidR="00BE2687">
        <w:t>. Observation</w:t>
      </w:r>
      <w:r w:rsidR="00DE444E">
        <w:t>s</w:t>
      </w:r>
      <w:r w:rsidR="00BE2687">
        <w:t xml:space="preserve"> occurred weekly from November 2021 to June 2022 and intermittently since June 2022. Interviews were done with a mix of opportunistic and purposeful sampling </w:t>
      </w:r>
      <w:r w:rsidR="00BE2687">
        <w:fldChar w:fldCharType="begin" w:fldLock="1"/>
      </w:r>
      <w:r w:rsidR="00BE2687">
        <w:instrText>ADDIN CSL_CITATION {"citationItems":[{"id":"ITEM-1","itemData":{"author":[{"dropping-particle":"","family":"Creswell","given":"John W.","non-dropping-particle":"","parse-names":false,"suffix":""}],"edition":"2nd","id":"ITEM-1","issued":{"date-parts":[["2013"]]},"publisher":"SAGE Publications","publisher-place":"London","title":"Research Design: Qualitative, Quantitative, and Mixed Methods Approaches","type":"book"},"uris":["http://www.mendeley.com/documents/?uuid=d74d3818-e786-4e00-89b3-a52814feee3e"]}],"mendeley":{"formattedCitation":"(Creswell, 2013)","plainTextFormattedCitation":"(Creswell, 2013)","previouslyFormattedCitation":"(Creswell, 2013)"},"properties":{"noteIndex":0},"schema":"https://github.com/citation-style-language/schema/raw/master/csl-citation.json"}</w:instrText>
      </w:r>
      <w:r w:rsidR="00BE2687">
        <w:fldChar w:fldCharType="separate"/>
      </w:r>
      <w:r w:rsidR="00BE2687" w:rsidRPr="00C2224E">
        <w:rPr>
          <w:noProof/>
        </w:rPr>
        <w:t>(Creswell, 2013)</w:t>
      </w:r>
      <w:r w:rsidR="00BE2687">
        <w:fldChar w:fldCharType="end"/>
      </w:r>
      <w:r w:rsidR="00BE2687">
        <w:t xml:space="preserve">. The interviews were semi-formal and revolved around three themes: </w:t>
      </w:r>
      <w:r w:rsidR="00BE2687" w:rsidRPr="00DA059C">
        <w:rPr>
          <w:i/>
          <w:iCs/>
        </w:rPr>
        <w:t>who</w:t>
      </w:r>
      <w:r w:rsidR="00BE2687">
        <w:t xml:space="preserve"> </w:t>
      </w:r>
      <w:r w:rsidR="00931D98">
        <w:t>is</w:t>
      </w:r>
      <w:r w:rsidR="00BE2687">
        <w:t xml:space="preserve"> consider</w:t>
      </w:r>
      <w:r w:rsidR="00931D98">
        <w:t>ed</w:t>
      </w:r>
      <w:r w:rsidR="00BE2687">
        <w:t xml:space="preserve"> part of their community, </w:t>
      </w:r>
      <w:r w:rsidR="00BE2687" w:rsidRPr="00DA059C">
        <w:rPr>
          <w:i/>
          <w:iCs/>
        </w:rPr>
        <w:t>what</w:t>
      </w:r>
      <w:r w:rsidR="00BE2687">
        <w:t xml:space="preserve"> defined their or other communities (e.g. activities, locations, futures), and </w:t>
      </w:r>
      <w:r w:rsidR="00BE2687" w:rsidRPr="00DA059C">
        <w:rPr>
          <w:i/>
          <w:iCs/>
        </w:rPr>
        <w:t>how</w:t>
      </w:r>
      <w:r w:rsidR="00BE2687">
        <w:t xml:space="preserve"> they and their community understood and engaged with closure. I have also collected documents, media articles, and the results of three local surveys conducted about the area’s transition. </w:t>
      </w:r>
      <w:r w:rsidR="00BE2687" w:rsidRPr="00035271">
        <w:t xml:space="preserve">These data streams will be triangulated, as is best practice for case study research </w:t>
      </w:r>
      <w:r w:rsidR="00BE2687" w:rsidRPr="00035271">
        <w:fldChar w:fldCharType="begin" w:fldLock="1"/>
      </w:r>
      <w:r w:rsidR="00BE2687" w:rsidRPr="00035271">
        <w:instrText>ADDIN CSL_CITATION {"citationItems":[{"id":"ITEM-1","itemData":{"ISBN":"978-0-85702-974-4","author":[{"dropping-particle":"","family":"Myers","given":"Michael D.","non-dropping-particle":"","parse-names":false,"suffix":""}],"edition":"2nd","id":"ITEM-1","issued":{"date-parts":[["2013"]]},"publisher":"SAGE Publications, Inc.","publisher-place":"London, UK","title":"Qualitative Methods in Business and Management","type":"book"},"uris":["http://www.mendeley.com/documents/?uuid=12be8f1a-bd7a-4c32-9f15-333787595d9d"]},{"id":"ITEM-2","itemData":{"author":[{"dropping-particle":"","family":"Stake","given":"Robert E.","non-dropping-particle":"","parse-names":false,"suffix":""}],"chapter-number":"17","container-title":"The Handbook of Qualitative Research","edition":"2nd","editor":[{"dropping-particle":"","family":"Denzin","given":"N. K.","non-dropping-particle":"","parse-names":false,"suffix":""},{"dropping-particle":"","family":"Lincoln","given":"Y. S.","non-dropping-particle":"","parse-names":false,"suffix":""}],"id":"ITEM-2","issued":{"date-parts":[["2000"]]},"page":"13","publisher":"SAGE Publications Ltd","publisher-place":"Thousand Oaks, California, United States","title":"Qualitative Case Studies","type":"chapter"},"uris":["http://www.mendeley.com/documents/?uuid=cc5a547c-5a49-4007-b478-cdaab9a5ad41"]},{"id":"ITEM-3","itemData":{"DOI":"10.4135/9781483348858","ISBN":"9781412950312","author":[{"dropping-particle":"","family":"Yin","given":"Robert K.","non-dropping-particle":"","parse-names":false,"suffix":""}],"container-title":"The SAGE Handbook of Applied Social Research Methods","editor":[{"dropping-particle":"","family":"Bickman","given":"Leonard","non-dropping-particle":"","parse-names":false,"suffix":""},{"dropping-particle":"","family":"Rog","given":"Debra","non-dropping-particle":"","parse-names":false,"suffix":""}],"id":"ITEM-3","issued":{"date-parts":[["2009"]]},"page":"254-282","publisher":"SAGE Publications, Inc.","publisher-place":"Thousand Oaks, California, United States","title":"How to do better case studies: (With illustrations from 20 exemplary case studies)","type":"chapter"},"uris":["http://www.mendeley.com/documents/?uuid=57c934b6-6823-4d27-a87c-eae79eefff7a"]}],"mendeley":{"formattedCitation":"(Myers, 2013; Stake, 2000; Yin, 2009)","plainTextFormattedCitation":"(Myers, 2013; Stake, 2000; Yin, 2009)","previouslyFormattedCitation":"(Myers, 2013; Stake, 2000; Yin, 2009)"},"properties":{"noteIndex":0},"schema":"https://github.com/citation-style-language/schema/raw/master/csl-citation.json"}</w:instrText>
      </w:r>
      <w:r w:rsidR="00BE2687" w:rsidRPr="00035271">
        <w:fldChar w:fldCharType="separate"/>
      </w:r>
      <w:r w:rsidR="00BE2687" w:rsidRPr="00035271">
        <w:rPr>
          <w:noProof/>
        </w:rPr>
        <w:t>(Myers, 2013; Stake, 2000; Yin, 2009)</w:t>
      </w:r>
      <w:r w:rsidR="00BE2687" w:rsidRPr="00035271">
        <w:fldChar w:fldCharType="end"/>
      </w:r>
      <w:r w:rsidR="00BE2687" w:rsidRPr="00035271">
        <w:t>.</w:t>
      </w:r>
    </w:p>
    <w:p w14:paraId="2CFBCA75" w14:textId="77777777" w:rsidR="00794676" w:rsidRDefault="00794676" w:rsidP="00523456">
      <w:pPr>
        <w:ind w:firstLine="720"/>
      </w:pPr>
    </w:p>
    <w:p w14:paraId="217D370B" w14:textId="77777777" w:rsidR="002A1EAA" w:rsidRPr="0081522B" w:rsidRDefault="002A1EAA" w:rsidP="00523456">
      <w:pPr>
        <w:keepNext/>
        <w:rPr>
          <w:b/>
          <w:bCs/>
        </w:rPr>
      </w:pPr>
      <w:r>
        <w:rPr>
          <w:b/>
          <w:bCs/>
        </w:rPr>
        <w:t>Table 1. Data Collected (updated September 4, 2025)</w:t>
      </w:r>
    </w:p>
    <w:tbl>
      <w:tblPr>
        <w:tblStyle w:val="TableGrid"/>
        <w:tblW w:w="0" w:type="auto"/>
        <w:tblLook w:val="04A0" w:firstRow="1" w:lastRow="0" w:firstColumn="1" w:lastColumn="0" w:noHBand="0" w:noVBand="1"/>
      </w:tblPr>
      <w:tblGrid>
        <w:gridCol w:w="2122"/>
        <w:gridCol w:w="2552"/>
        <w:gridCol w:w="4535"/>
      </w:tblGrid>
      <w:tr w:rsidR="002A1EAA" w:rsidRPr="00523456" w14:paraId="5907E5ED" w14:textId="77777777" w:rsidTr="00872CA7">
        <w:trPr>
          <w:tblHeader/>
        </w:trPr>
        <w:tc>
          <w:tcPr>
            <w:tcW w:w="2122" w:type="dxa"/>
          </w:tcPr>
          <w:p w14:paraId="5BB558E4" w14:textId="77777777" w:rsidR="002A1EAA" w:rsidRPr="00523456" w:rsidRDefault="002A1EAA" w:rsidP="00523456">
            <w:pPr>
              <w:keepLines/>
              <w:rPr>
                <w:b/>
                <w:bCs/>
                <w:sz w:val="22"/>
                <w:szCs w:val="22"/>
              </w:rPr>
            </w:pPr>
            <w:r w:rsidRPr="00523456">
              <w:rPr>
                <w:b/>
                <w:bCs/>
                <w:sz w:val="22"/>
                <w:szCs w:val="22"/>
              </w:rPr>
              <w:t>Data</w:t>
            </w:r>
          </w:p>
        </w:tc>
        <w:tc>
          <w:tcPr>
            <w:tcW w:w="2552" w:type="dxa"/>
          </w:tcPr>
          <w:p w14:paraId="57200FFF" w14:textId="77777777" w:rsidR="002A1EAA" w:rsidRPr="00523456" w:rsidRDefault="002A1EAA" w:rsidP="00523456">
            <w:pPr>
              <w:keepLines/>
              <w:rPr>
                <w:b/>
                <w:bCs/>
                <w:sz w:val="22"/>
                <w:szCs w:val="22"/>
              </w:rPr>
            </w:pPr>
            <w:r w:rsidRPr="00523456">
              <w:rPr>
                <w:b/>
                <w:bCs/>
                <w:sz w:val="22"/>
                <w:szCs w:val="22"/>
              </w:rPr>
              <w:t>What’s included</w:t>
            </w:r>
          </w:p>
        </w:tc>
        <w:tc>
          <w:tcPr>
            <w:tcW w:w="4535" w:type="dxa"/>
          </w:tcPr>
          <w:p w14:paraId="04129C6E" w14:textId="77777777" w:rsidR="002A1EAA" w:rsidRPr="00523456" w:rsidRDefault="002A1EAA" w:rsidP="00523456">
            <w:pPr>
              <w:keepLines/>
              <w:rPr>
                <w:b/>
                <w:bCs/>
                <w:sz w:val="22"/>
                <w:szCs w:val="22"/>
              </w:rPr>
            </w:pPr>
            <w:r w:rsidRPr="00523456">
              <w:rPr>
                <w:b/>
                <w:bCs/>
                <w:sz w:val="22"/>
                <w:szCs w:val="22"/>
              </w:rPr>
              <w:t>Where from?</w:t>
            </w:r>
          </w:p>
        </w:tc>
      </w:tr>
      <w:tr w:rsidR="002A1EAA" w:rsidRPr="00523456" w14:paraId="3CD4F298" w14:textId="77777777" w:rsidTr="00872CA7">
        <w:tc>
          <w:tcPr>
            <w:tcW w:w="2122" w:type="dxa"/>
          </w:tcPr>
          <w:p w14:paraId="1F0C9742" w14:textId="77777777" w:rsidR="002A1EAA" w:rsidRPr="00523456" w:rsidRDefault="002A1EAA" w:rsidP="00523456">
            <w:pPr>
              <w:keepLines/>
              <w:rPr>
                <w:sz w:val="22"/>
                <w:szCs w:val="22"/>
              </w:rPr>
            </w:pPr>
            <w:r w:rsidRPr="00523456">
              <w:rPr>
                <w:sz w:val="22"/>
                <w:szCs w:val="22"/>
              </w:rPr>
              <w:t xml:space="preserve">Observation Notes </w:t>
            </w:r>
          </w:p>
        </w:tc>
        <w:tc>
          <w:tcPr>
            <w:tcW w:w="2552" w:type="dxa"/>
          </w:tcPr>
          <w:p w14:paraId="41137081" w14:textId="77777777" w:rsidR="002A1EAA" w:rsidRPr="00523456" w:rsidRDefault="002A1EAA" w:rsidP="00523456">
            <w:pPr>
              <w:keepLines/>
              <w:rPr>
                <w:sz w:val="22"/>
                <w:szCs w:val="22"/>
              </w:rPr>
            </w:pPr>
            <w:r w:rsidRPr="00523456">
              <w:rPr>
                <w:sz w:val="22"/>
                <w:szCs w:val="22"/>
              </w:rPr>
              <w:t xml:space="preserve">Notes taken during and after participation and non-participant observation in </w:t>
            </w:r>
            <w:proofErr w:type="spellStart"/>
            <w:r w:rsidRPr="00523456">
              <w:rPr>
                <w:sz w:val="22"/>
                <w:szCs w:val="22"/>
              </w:rPr>
              <w:t>Wabamun</w:t>
            </w:r>
            <w:proofErr w:type="spellEnd"/>
          </w:p>
        </w:tc>
        <w:tc>
          <w:tcPr>
            <w:tcW w:w="4535" w:type="dxa"/>
          </w:tcPr>
          <w:p w14:paraId="21CFE12D" w14:textId="77777777" w:rsidR="002A1EAA" w:rsidRPr="00523456" w:rsidRDefault="002A1EAA" w:rsidP="00523456">
            <w:pPr>
              <w:keepLines/>
              <w:rPr>
                <w:sz w:val="22"/>
                <w:szCs w:val="22"/>
              </w:rPr>
            </w:pPr>
            <w:r w:rsidRPr="00523456">
              <w:rPr>
                <w:sz w:val="22"/>
                <w:szCs w:val="22"/>
              </w:rPr>
              <w:t xml:space="preserve">221 hours of field observations between November 2021 and September 2025. Observations took place at </w:t>
            </w:r>
            <w:proofErr w:type="spellStart"/>
            <w:r w:rsidRPr="00523456">
              <w:rPr>
                <w:sz w:val="22"/>
                <w:szCs w:val="22"/>
              </w:rPr>
              <w:t>Wabamun</w:t>
            </w:r>
            <w:proofErr w:type="spellEnd"/>
            <w:r w:rsidRPr="00523456">
              <w:rPr>
                <w:sz w:val="22"/>
                <w:szCs w:val="22"/>
              </w:rPr>
              <w:t xml:space="preserve"> Lions Bowling Lanes, </w:t>
            </w:r>
            <w:proofErr w:type="spellStart"/>
            <w:r w:rsidRPr="00523456">
              <w:rPr>
                <w:sz w:val="22"/>
                <w:szCs w:val="22"/>
              </w:rPr>
              <w:t>Wabamun</w:t>
            </w:r>
            <w:proofErr w:type="spellEnd"/>
            <w:r w:rsidRPr="00523456">
              <w:rPr>
                <w:sz w:val="22"/>
                <w:szCs w:val="22"/>
              </w:rPr>
              <w:t xml:space="preserve"> Library, </w:t>
            </w:r>
            <w:proofErr w:type="spellStart"/>
            <w:r w:rsidRPr="00523456">
              <w:rPr>
                <w:sz w:val="22"/>
                <w:szCs w:val="22"/>
              </w:rPr>
              <w:t>Wabamun</w:t>
            </w:r>
            <w:proofErr w:type="spellEnd"/>
            <w:r w:rsidRPr="00523456">
              <w:rPr>
                <w:sz w:val="22"/>
                <w:szCs w:val="22"/>
              </w:rPr>
              <w:t xml:space="preserve"> Lion’s Meetings, </w:t>
            </w:r>
            <w:proofErr w:type="spellStart"/>
            <w:r w:rsidRPr="00523456">
              <w:rPr>
                <w:sz w:val="22"/>
                <w:szCs w:val="22"/>
              </w:rPr>
              <w:t>Wabamun</w:t>
            </w:r>
            <w:proofErr w:type="spellEnd"/>
            <w:r w:rsidRPr="00523456">
              <w:rPr>
                <w:sz w:val="22"/>
                <w:szCs w:val="22"/>
              </w:rPr>
              <w:t xml:space="preserve"> Watershed Management Council Board Meetings, Parkland County Council Meetings and other locations around town and county.</w:t>
            </w:r>
          </w:p>
          <w:p w14:paraId="3EFE4CCC" w14:textId="77777777" w:rsidR="002A1EAA" w:rsidRPr="00523456" w:rsidRDefault="002A1EAA" w:rsidP="00523456">
            <w:pPr>
              <w:keepLines/>
              <w:rPr>
                <w:sz w:val="22"/>
                <w:szCs w:val="22"/>
              </w:rPr>
            </w:pPr>
            <w:r w:rsidRPr="00523456">
              <w:rPr>
                <w:sz w:val="22"/>
                <w:szCs w:val="22"/>
              </w:rPr>
              <w:t>*Does not include time spent in interviews</w:t>
            </w:r>
          </w:p>
        </w:tc>
      </w:tr>
      <w:tr w:rsidR="002A1EAA" w:rsidRPr="00523456" w14:paraId="20BC48A3" w14:textId="77777777" w:rsidTr="00872CA7">
        <w:tc>
          <w:tcPr>
            <w:tcW w:w="2122" w:type="dxa"/>
          </w:tcPr>
          <w:p w14:paraId="506B8BCE" w14:textId="77777777" w:rsidR="002A1EAA" w:rsidRPr="00523456" w:rsidRDefault="002A1EAA" w:rsidP="00523456">
            <w:pPr>
              <w:keepLines/>
              <w:rPr>
                <w:sz w:val="22"/>
                <w:szCs w:val="22"/>
              </w:rPr>
            </w:pPr>
            <w:r w:rsidRPr="00523456">
              <w:rPr>
                <w:sz w:val="22"/>
                <w:szCs w:val="22"/>
              </w:rPr>
              <w:t>Interviews</w:t>
            </w:r>
          </w:p>
        </w:tc>
        <w:tc>
          <w:tcPr>
            <w:tcW w:w="2552" w:type="dxa"/>
          </w:tcPr>
          <w:p w14:paraId="48DF4ED4" w14:textId="77777777" w:rsidR="002A1EAA" w:rsidRPr="00523456" w:rsidRDefault="002A1EAA" w:rsidP="00523456">
            <w:pPr>
              <w:keepLines/>
              <w:rPr>
                <w:sz w:val="22"/>
                <w:szCs w:val="22"/>
              </w:rPr>
            </w:pPr>
            <w:r w:rsidRPr="00523456">
              <w:rPr>
                <w:sz w:val="22"/>
                <w:szCs w:val="22"/>
              </w:rPr>
              <w:t xml:space="preserve">50 formal interviews </w:t>
            </w:r>
          </w:p>
          <w:p w14:paraId="39DFF18F" w14:textId="77777777" w:rsidR="002A1EAA" w:rsidRPr="00523456" w:rsidRDefault="002A1EAA" w:rsidP="00523456">
            <w:pPr>
              <w:keepLines/>
              <w:rPr>
                <w:sz w:val="22"/>
                <w:szCs w:val="22"/>
              </w:rPr>
            </w:pPr>
            <w:r w:rsidRPr="00523456">
              <w:rPr>
                <w:sz w:val="22"/>
                <w:szCs w:val="22"/>
              </w:rPr>
              <w:t>6 exploratory interviews</w:t>
            </w:r>
          </w:p>
        </w:tc>
        <w:tc>
          <w:tcPr>
            <w:tcW w:w="4535" w:type="dxa"/>
          </w:tcPr>
          <w:p w14:paraId="5F42CCEB" w14:textId="77777777" w:rsidR="002A1EAA" w:rsidRPr="00523456" w:rsidRDefault="002A1EAA" w:rsidP="00523456">
            <w:pPr>
              <w:keepLines/>
              <w:rPr>
                <w:sz w:val="22"/>
                <w:szCs w:val="22"/>
              </w:rPr>
            </w:pPr>
            <w:r w:rsidRPr="00523456">
              <w:rPr>
                <w:sz w:val="22"/>
                <w:szCs w:val="22"/>
              </w:rPr>
              <w:t>See Table 2, available upon request (not included to preserve confidentiality)</w:t>
            </w:r>
          </w:p>
        </w:tc>
      </w:tr>
      <w:tr w:rsidR="002A1EAA" w:rsidRPr="00523456" w14:paraId="5BDCBAB5" w14:textId="77777777" w:rsidTr="00872CA7">
        <w:tc>
          <w:tcPr>
            <w:tcW w:w="2122" w:type="dxa"/>
          </w:tcPr>
          <w:p w14:paraId="723B52F4" w14:textId="77777777" w:rsidR="002A1EAA" w:rsidRPr="00523456" w:rsidRDefault="002A1EAA" w:rsidP="00523456">
            <w:pPr>
              <w:keepLines/>
              <w:rPr>
                <w:sz w:val="22"/>
                <w:szCs w:val="22"/>
              </w:rPr>
            </w:pPr>
            <w:r w:rsidRPr="00523456">
              <w:rPr>
                <w:sz w:val="22"/>
                <w:szCs w:val="22"/>
              </w:rPr>
              <w:t>Documents</w:t>
            </w:r>
          </w:p>
        </w:tc>
        <w:tc>
          <w:tcPr>
            <w:tcW w:w="2552" w:type="dxa"/>
          </w:tcPr>
          <w:p w14:paraId="68EA4E41" w14:textId="77777777" w:rsidR="002A1EAA" w:rsidRPr="00523456" w:rsidRDefault="002A1EAA" w:rsidP="00523456">
            <w:pPr>
              <w:keepLines/>
              <w:rPr>
                <w:sz w:val="22"/>
                <w:szCs w:val="22"/>
              </w:rPr>
            </w:pPr>
            <w:r w:rsidRPr="00523456">
              <w:rPr>
                <w:sz w:val="22"/>
                <w:szCs w:val="22"/>
              </w:rPr>
              <w:t>56 documents (as of September 2023)</w:t>
            </w:r>
          </w:p>
        </w:tc>
        <w:tc>
          <w:tcPr>
            <w:tcW w:w="4535" w:type="dxa"/>
          </w:tcPr>
          <w:p w14:paraId="7FC8F7F0" w14:textId="77777777" w:rsidR="002A1EAA" w:rsidRPr="00523456" w:rsidRDefault="002A1EAA" w:rsidP="00523456">
            <w:pPr>
              <w:keepLines/>
              <w:rPr>
                <w:sz w:val="22"/>
                <w:szCs w:val="22"/>
              </w:rPr>
            </w:pPr>
            <w:r w:rsidRPr="00523456">
              <w:rPr>
                <w:sz w:val="22"/>
                <w:szCs w:val="22"/>
              </w:rPr>
              <w:t xml:space="preserve">Reports about </w:t>
            </w:r>
            <w:proofErr w:type="spellStart"/>
            <w:r w:rsidRPr="00523456">
              <w:rPr>
                <w:sz w:val="22"/>
                <w:szCs w:val="22"/>
              </w:rPr>
              <w:t>Wabamun</w:t>
            </w:r>
            <w:proofErr w:type="spellEnd"/>
            <w:r w:rsidRPr="00523456">
              <w:rPr>
                <w:sz w:val="22"/>
                <w:szCs w:val="22"/>
              </w:rPr>
              <w:t xml:space="preserve">, Highvale Mine, the </w:t>
            </w:r>
            <w:proofErr w:type="spellStart"/>
            <w:r w:rsidRPr="00523456">
              <w:rPr>
                <w:sz w:val="22"/>
                <w:szCs w:val="22"/>
              </w:rPr>
              <w:t>Wabamun</w:t>
            </w:r>
            <w:proofErr w:type="spellEnd"/>
            <w:r w:rsidRPr="00523456">
              <w:rPr>
                <w:sz w:val="22"/>
                <w:szCs w:val="22"/>
              </w:rPr>
              <w:t xml:space="preserve"> area, coal mining in Alberta</w:t>
            </w:r>
          </w:p>
        </w:tc>
      </w:tr>
      <w:tr w:rsidR="002A1EAA" w:rsidRPr="00523456" w14:paraId="301E30B4" w14:textId="77777777" w:rsidTr="00872CA7">
        <w:tc>
          <w:tcPr>
            <w:tcW w:w="2122" w:type="dxa"/>
          </w:tcPr>
          <w:p w14:paraId="3DF389CC" w14:textId="77777777" w:rsidR="002A1EAA" w:rsidRPr="00523456" w:rsidRDefault="002A1EAA" w:rsidP="00523456">
            <w:pPr>
              <w:keepLines/>
              <w:rPr>
                <w:sz w:val="22"/>
                <w:szCs w:val="22"/>
              </w:rPr>
            </w:pPr>
            <w:r w:rsidRPr="00523456">
              <w:rPr>
                <w:sz w:val="22"/>
                <w:szCs w:val="22"/>
              </w:rPr>
              <w:t>Media Articles</w:t>
            </w:r>
          </w:p>
        </w:tc>
        <w:tc>
          <w:tcPr>
            <w:tcW w:w="2552" w:type="dxa"/>
          </w:tcPr>
          <w:p w14:paraId="42FA1AFF" w14:textId="77777777" w:rsidR="002A1EAA" w:rsidRPr="00523456" w:rsidRDefault="002A1EAA" w:rsidP="00523456">
            <w:pPr>
              <w:keepLines/>
              <w:rPr>
                <w:sz w:val="22"/>
                <w:szCs w:val="22"/>
              </w:rPr>
            </w:pPr>
            <w:r w:rsidRPr="00523456">
              <w:rPr>
                <w:sz w:val="22"/>
                <w:szCs w:val="22"/>
              </w:rPr>
              <w:t>2425 articles (as of May 2025)</w:t>
            </w:r>
          </w:p>
        </w:tc>
        <w:tc>
          <w:tcPr>
            <w:tcW w:w="4535" w:type="dxa"/>
          </w:tcPr>
          <w:p w14:paraId="0FEA71D8" w14:textId="77777777" w:rsidR="002A1EAA" w:rsidRPr="00523456" w:rsidRDefault="002A1EAA" w:rsidP="00523456">
            <w:pPr>
              <w:keepLines/>
              <w:rPr>
                <w:sz w:val="22"/>
                <w:szCs w:val="22"/>
              </w:rPr>
            </w:pPr>
            <w:r w:rsidRPr="00523456">
              <w:rPr>
                <w:sz w:val="22"/>
                <w:szCs w:val="22"/>
              </w:rPr>
              <w:t xml:space="preserve">Pulled from </w:t>
            </w:r>
            <w:proofErr w:type="spellStart"/>
            <w:r w:rsidRPr="00523456">
              <w:rPr>
                <w:sz w:val="22"/>
                <w:szCs w:val="22"/>
              </w:rPr>
              <w:t>Proquest</w:t>
            </w:r>
            <w:proofErr w:type="spellEnd"/>
            <w:r w:rsidRPr="00523456">
              <w:rPr>
                <w:sz w:val="22"/>
                <w:szCs w:val="22"/>
              </w:rPr>
              <w:t xml:space="preserve"> using search “</w:t>
            </w:r>
            <w:proofErr w:type="spellStart"/>
            <w:r w:rsidRPr="00523456">
              <w:rPr>
                <w:sz w:val="22"/>
                <w:szCs w:val="22"/>
              </w:rPr>
              <w:t>Wabamun</w:t>
            </w:r>
            <w:proofErr w:type="spellEnd"/>
            <w:r w:rsidRPr="00523456">
              <w:rPr>
                <w:sz w:val="22"/>
                <w:szCs w:val="22"/>
              </w:rPr>
              <w:t>” (not in full text), includes duplicates</w:t>
            </w:r>
          </w:p>
        </w:tc>
      </w:tr>
      <w:tr w:rsidR="002A1EAA" w:rsidRPr="00523456" w14:paraId="318652B9" w14:textId="77777777" w:rsidTr="00872CA7">
        <w:tc>
          <w:tcPr>
            <w:tcW w:w="2122" w:type="dxa"/>
          </w:tcPr>
          <w:p w14:paraId="113F3CF0" w14:textId="77777777" w:rsidR="002A1EAA" w:rsidRPr="00523456" w:rsidRDefault="002A1EAA" w:rsidP="00523456">
            <w:pPr>
              <w:keepLines/>
              <w:rPr>
                <w:sz w:val="22"/>
                <w:szCs w:val="22"/>
              </w:rPr>
            </w:pPr>
            <w:r w:rsidRPr="00523456">
              <w:rPr>
                <w:sz w:val="22"/>
                <w:szCs w:val="22"/>
              </w:rPr>
              <w:t>Survey Data</w:t>
            </w:r>
          </w:p>
        </w:tc>
        <w:tc>
          <w:tcPr>
            <w:tcW w:w="2552" w:type="dxa"/>
          </w:tcPr>
          <w:p w14:paraId="42118AF8" w14:textId="77777777" w:rsidR="002A1EAA" w:rsidRPr="00523456" w:rsidRDefault="002A1EAA" w:rsidP="00523456">
            <w:pPr>
              <w:keepLines/>
              <w:rPr>
                <w:sz w:val="22"/>
                <w:szCs w:val="22"/>
              </w:rPr>
            </w:pPr>
            <w:r w:rsidRPr="00523456">
              <w:rPr>
                <w:sz w:val="22"/>
                <w:szCs w:val="22"/>
              </w:rPr>
              <w:t>3 surveys (150-450 responses each) collecting demographic and qualitative data</w:t>
            </w:r>
          </w:p>
        </w:tc>
        <w:tc>
          <w:tcPr>
            <w:tcW w:w="4535" w:type="dxa"/>
          </w:tcPr>
          <w:p w14:paraId="360D2662" w14:textId="77777777" w:rsidR="002A1EAA" w:rsidRPr="00523456" w:rsidRDefault="002A1EAA" w:rsidP="00523456">
            <w:pPr>
              <w:keepLines/>
              <w:rPr>
                <w:sz w:val="22"/>
                <w:szCs w:val="22"/>
              </w:rPr>
            </w:pPr>
            <w:r w:rsidRPr="00523456">
              <w:rPr>
                <w:sz w:val="22"/>
                <w:szCs w:val="22"/>
              </w:rPr>
              <w:t xml:space="preserve">Collected as part of the consultation for </w:t>
            </w:r>
            <w:proofErr w:type="spellStart"/>
            <w:r w:rsidRPr="00523456">
              <w:rPr>
                <w:sz w:val="22"/>
                <w:szCs w:val="22"/>
              </w:rPr>
              <w:t>Wabamun</w:t>
            </w:r>
            <w:proofErr w:type="spellEnd"/>
            <w:r w:rsidRPr="00523456">
              <w:rPr>
                <w:sz w:val="22"/>
                <w:szCs w:val="22"/>
              </w:rPr>
              <w:t xml:space="preserve"> Area Vision planning.</w:t>
            </w:r>
          </w:p>
        </w:tc>
      </w:tr>
    </w:tbl>
    <w:p w14:paraId="31AA2903" w14:textId="3566559C" w:rsidR="00A87FDA" w:rsidRDefault="00BE2687" w:rsidP="00523456">
      <w:r>
        <w:tab/>
      </w:r>
      <w:r w:rsidR="00CF19E2" w:rsidRPr="00035271">
        <w:t>Early data analysis suggests that institutional infrastructure plays an important role for the community as it manages this largescale erosion</w:t>
      </w:r>
      <w:r w:rsidR="00CF19E2">
        <w:t>.</w:t>
      </w:r>
      <w:r w:rsidR="00CF19E2" w:rsidRPr="00CF19E2">
        <w:t xml:space="preserve"> </w:t>
      </w:r>
      <w:r w:rsidR="00CF19E2" w:rsidRPr="00035271">
        <w:t xml:space="preserve">Interim findings suggest erosion is perpetuated through </w:t>
      </w:r>
      <w:r w:rsidR="002A1EAA">
        <w:rPr>
          <w:i/>
          <w:iCs/>
        </w:rPr>
        <w:t>feigned</w:t>
      </w:r>
      <w:r w:rsidR="00CF19E2" w:rsidRPr="00035271">
        <w:rPr>
          <w:i/>
          <w:iCs/>
        </w:rPr>
        <w:t>-ignorance</w:t>
      </w:r>
      <w:r w:rsidR="00CF19E2" w:rsidRPr="00035271">
        <w:t>: failure to acknowledge a closure will cause erosion, resulting in perpetuation (and sometimes catalyzing) of further erosion.</w:t>
      </w:r>
      <w:r w:rsidR="00CF19E2">
        <w:t xml:space="preserve"> </w:t>
      </w:r>
      <w:r w:rsidR="00CF19E2" w:rsidRPr="00035271">
        <w:t xml:space="preserve">When eroding infrastructure is spotted (or, more accurately, the spotted erosion is acknowledged) two reactionary processes occur in response to the holes in institutional infrastructure caused by erosion: </w:t>
      </w:r>
      <w:r w:rsidR="00CF19E2" w:rsidRPr="00035271">
        <w:rPr>
          <w:i/>
          <w:iCs/>
        </w:rPr>
        <w:t>internal rebranding</w:t>
      </w:r>
      <w:r w:rsidR="00CF19E2" w:rsidRPr="00035271">
        <w:t xml:space="preserve"> and </w:t>
      </w:r>
      <w:r w:rsidR="00CF19E2" w:rsidRPr="00035271">
        <w:rPr>
          <w:i/>
          <w:iCs/>
        </w:rPr>
        <w:t>external dissent</w:t>
      </w:r>
      <w:r w:rsidR="00CF19E2" w:rsidRPr="00035271">
        <w:t xml:space="preserve">. </w:t>
      </w:r>
      <w:r w:rsidR="002A1EAA">
        <w:rPr>
          <w:i/>
          <w:iCs/>
        </w:rPr>
        <w:t>Narrative scavenging</w:t>
      </w:r>
      <w:r w:rsidR="00CF19E2" w:rsidRPr="0094312B">
        <w:rPr>
          <w:i/>
          <w:iCs/>
        </w:rPr>
        <w:t xml:space="preserve"> </w:t>
      </w:r>
      <w:r w:rsidR="00CF19E2" w:rsidRPr="00035271">
        <w:t xml:space="preserve">is reactionary and involves assessing what is being lost to erosion and attempting to fill these </w:t>
      </w:r>
      <w:r w:rsidR="00CF19E2">
        <w:t>holes</w:t>
      </w:r>
      <w:r w:rsidR="00CF19E2" w:rsidRPr="00035271">
        <w:t xml:space="preserve"> in real time</w:t>
      </w:r>
      <w:r w:rsidR="002A1EAA">
        <w:t xml:space="preserve"> with whatever infrastructure materials happen to be around</w:t>
      </w:r>
      <w:r w:rsidR="00CF19E2" w:rsidRPr="00035271">
        <w:t>.</w:t>
      </w:r>
      <w:r w:rsidR="00CF19E2">
        <w:t xml:space="preserve"> </w:t>
      </w:r>
      <w:r w:rsidR="00CF19E2" w:rsidRPr="00E22DE2">
        <w:rPr>
          <w:i/>
          <w:iCs/>
        </w:rPr>
        <w:t>External dissent</w:t>
      </w:r>
      <w:r w:rsidR="00CF19E2" w:rsidRPr="00035271">
        <w:t>, on the other hand, refers to resistance to using non-community infrastructure to patch infrastructure holes</w:t>
      </w:r>
      <w:r w:rsidR="007200E7">
        <w:t>.</w:t>
      </w:r>
      <w:r w:rsidR="00A87FDA">
        <w:t xml:space="preserve"> </w:t>
      </w:r>
      <w:r w:rsidR="007200E7">
        <w:t>T</w:t>
      </w:r>
      <w:r w:rsidR="007775D5" w:rsidRPr="00035271">
        <w:t>hese findings</w:t>
      </w:r>
      <w:r w:rsidR="002A1EAA">
        <w:t xml:space="preserve"> </w:t>
      </w:r>
      <w:r w:rsidR="007775D5" w:rsidRPr="00035271">
        <w:t xml:space="preserve">point </w:t>
      </w:r>
      <w:r w:rsidR="007775D5">
        <w:t xml:space="preserve">to a </w:t>
      </w:r>
      <w:r w:rsidR="007775D5" w:rsidRPr="00035271">
        <w:t xml:space="preserve">richer understanding of how institutional infrastructure is eroded </w:t>
      </w:r>
      <w:r w:rsidR="007775D5">
        <w:t xml:space="preserve">before and during </w:t>
      </w:r>
      <w:r w:rsidR="00931D98">
        <w:t>institutional decline.</w:t>
      </w:r>
      <w:r w:rsidR="007200E7">
        <w:t xml:space="preserve"> </w:t>
      </w:r>
    </w:p>
    <w:sectPr w:rsidR="00A87FDA" w:rsidSect="0053573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D32A" w14:textId="77777777" w:rsidR="00FE0A0B" w:rsidRDefault="00FE0A0B" w:rsidP="00AC2660">
      <w:r>
        <w:separator/>
      </w:r>
    </w:p>
  </w:endnote>
  <w:endnote w:type="continuationSeparator" w:id="0">
    <w:p w14:paraId="48552D54" w14:textId="77777777" w:rsidR="00FE0A0B" w:rsidRDefault="00FE0A0B" w:rsidP="00AC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130012"/>
      <w:docPartObj>
        <w:docPartGallery w:val="Page Numbers (Bottom of Page)"/>
        <w:docPartUnique/>
      </w:docPartObj>
    </w:sdtPr>
    <w:sdtContent>
      <w:p w14:paraId="0F576AFB" w14:textId="77777777" w:rsidR="0034153C" w:rsidRDefault="0034153C" w:rsidP="003415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FE9E4" w14:textId="77777777" w:rsidR="0034153C" w:rsidRDefault="0034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9547601"/>
      <w:docPartObj>
        <w:docPartGallery w:val="Page Numbers (Bottom of Page)"/>
        <w:docPartUnique/>
      </w:docPartObj>
    </w:sdtPr>
    <w:sdtContent>
      <w:p w14:paraId="4FC2F2AC" w14:textId="77777777" w:rsidR="0034153C" w:rsidRDefault="0034153C" w:rsidP="003415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79C2">
          <w:rPr>
            <w:rStyle w:val="PageNumber"/>
            <w:noProof/>
          </w:rPr>
          <w:t>9</w:t>
        </w:r>
        <w:r>
          <w:rPr>
            <w:rStyle w:val="PageNumber"/>
          </w:rPr>
          <w:fldChar w:fldCharType="end"/>
        </w:r>
      </w:p>
    </w:sdtContent>
  </w:sdt>
  <w:p w14:paraId="04E47FC3" w14:textId="77777777" w:rsidR="0034153C" w:rsidRDefault="0034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376E" w14:textId="77777777" w:rsidR="00FE0A0B" w:rsidRDefault="00FE0A0B" w:rsidP="00AC2660">
      <w:r>
        <w:separator/>
      </w:r>
    </w:p>
  </w:footnote>
  <w:footnote w:type="continuationSeparator" w:id="0">
    <w:p w14:paraId="6F946DDC" w14:textId="77777777" w:rsidR="00FE0A0B" w:rsidRDefault="00FE0A0B" w:rsidP="00AC2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6C"/>
    <w:rsid w:val="00011525"/>
    <w:rsid w:val="00017FDB"/>
    <w:rsid w:val="000271F4"/>
    <w:rsid w:val="000617A5"/>
    <w:rsid w:val="00064993"/>
    <w:rsid w:val="00072A5E"/>
    <w:rsid w:val="00091FB1"/>
    <w:rsid w:val="000969DE"/>
    <w:rsid w:val="000B52D7"/>
    <w:rsid w:val="000B78D9"/>
    <w:rsid w:val="000C42D0"/>
    <w:rsid w:val="000C578D"/>
    <w:rsid w:val="000D51CF"/>
    <w:rsid w:val="000F0789"/>
    <w:rsid w:val="001000CC"/>
    <w:rsid w:val="0010542B"/>
    <w:rsid w:val="00121EE6"/>
    <w:rsid w:val="00141F37"/>
    <w:rsid w:val="00151EDB"/>
    <w:rsid w:val="0015668C"/>
    <w:rsid w:val="00161D89"/>
    <w:rsid w:val="001743C9"/>
    <w:rsid w:val="0017489B"/>
    <w:rsid w:val="00191CE7"/>
    <w:rsid w:val="001A0BF9"/>
    <w:rsid w:val="001B03DA"/>
    <w:rsid w:val="001C2223"/>
    <w:rsid w:val="001E1040"/>
    <w:rsid w:val="001E4352"/>
    <w:rsid w:val="001F64D2"/>
    <w:rsid w:val="0020074E"/>
    <w:rsid w:val="00216646"/>
    <w:rsid w:val="00216BD1"/>
    <w:rsid w:val="00221BC9"/>
    <w:rsid w:val="00225ADD"/>
    <w:rsid w:val="002272FD"/>
    <w:rsid w:val="00243776"/>
    <w:rsid w:val="00245503"/>
    <w:rsid w:val="002474DD"/>
    <w:rsid w:val="00280A81"/>
    <w:rsid w:val="00283874"/>
    <w:rsid w:val="002859B4"/>
    <w:rsid w:val="002978F5"/>
    <w:rsid w:val="002A1EAA"/>
    <w:rsid w:val="002D6247"/>
    <w:rsid w:val="002D6D13"/>
    <w:rsid w:val="00307533"/>
    <w:rsid w:val="00310C76"/>
    <w:rsid w:val="00335862"/>
    <w:rsid w:val="00340C47"/>
    <w:rsid w:val="0034153C"/>
    <w:rsid w:val="00342AC5"/>
    <w:rsid w:val="00366D70"/>
    <w:rsid w:val="00374A4E"/>
    <w:rsid w:val="00380B6F"/>
    <w:rsid w:val="00382F26"/>
    <w:rsid w:val="003A5F6A"/>
    <w:rsid w:val="003B36BC"/>
    <w:rsid w:val="003B4FD1"/>
    <w:rsid w:val="003C0346"/>
    <w:rsid w:val="003D0E38"/>
    <w:rsid w:val="003F6412"/>
    <w:rsid w:val="00430C66"/>
    <w:rsid w:val="00457440"/>
    <w:rsid w:val="00480D23"/>
    <w:rsid w:val="004972F8"/>
    <w:rsid w:val="004B3244"/>
    <w:rsid w:val="004C251D"/>
    <w:rsid w:val="004F14DF"/>
    <w:rsid w:val="0050301D"/>
    <w:rsid w:val="005048F6"/>
    <w:rsid w:val="00505669"/>
    <w:rsid w:val="00523456"/>
    <w:rsid w:val="00535737"/>
    <w:rsid w:val="005401B5"/>
    <w:rsid w:val="00542273"/>
    <w:rsid w:val="00552E96"/>
    <w:rsid w:val="00552F20"/>
    <w:rsid w:val="00570C7A"/>
    <w:rsid w:val="0059014A"/>
    <w:rsid w:val="005A363E"/>
    <w:rsid w:val="005A6104"/>
    <w:rsid w:val="005B45A0"/>
    <w:rsid w:val="005B5761"/>
    <w:rsid w:val="005C5583"/>
    <w:rsid w:val="006041A3"/>
    <w:rsid w:val="006202D3"/>
    <w:rsid w:val="00623C27"/>
    <w:rsid w:val="006521DB"/>
    <w:rsid w:val="006739CE"/>
    <w:rsid w:val="006773D9"/>
    <w:rsid w:val="006A02E4"/>
    <w:rsid w:val="006B319E"/>
    <w:rsid w:val="006B657E"/>
    <w:rsid w:val="006C4742"/>
    <w:rsid w:val="006E4866"/>
    <w:rsid w:val="00717DF1"/>
    <w:rsid w:val="007200E7"/>
    <w:rsid w:val="00720E0D"/>
    <w:rsid w:val="0072717D"/>
    <w:rsid w:val="00746DEA"/>
    <w:rsid w:val="00773C08"/>
    <w:rsid w:val="007775D5"/>
    <w:rsid w:val="00790707"/>
    <w:rsid w:val="00794676"/>
    <w:rsid w:val="007A6756"/>
    <w:rsid w:val="007C4F67"/>
    <w:rsid w:val="007E0A40"/>
    <w:rsid w:val="007E18E2"/>
    <w:rsid w:val="007E283F"/>
    <w:rsid w:val="007E4AB2"/>
    <w:rsid w:val="007E7F10"/>
    <w:rsid w:val="007F1F06"/>
    <w:rsid w:val="007F4199"/>
    <w:rsid w:val="008005BC"/>
    <w:rsid w:val="00802ACF"/>
    <w:rsid w:val="00806409"/>
    <w:rsid w:val="0081405D"/>
    <w:rsid w:val="00837F41"/>
    <w:rsid w:val="00853F78"/>
    <w:rsid w:val="008631C5"/>
    <w:rsid w:val="008711E9"/>
    <w:rsid w:val="00887813"/>
    <w:rsid w:val="00890EE8"/>
    <w:rsid w:val="00896E3F"/>
    <w:rsid w:val="008A1F51"/>
    <w:rsid w:val="008A4A78"/>
    <w:rsid w:val="008A68B1"/>
    <w:rsid w:val="008B10EC"/>
    <w:rsid w:val="008B4396"/>
    <w:rsid w:val="008B5D4C"/>
    <w:rsid w:val="008B79C2"/>
    <w:rsid w:val="008D4EEF"/>
    <w:rsid w:val="008F05EC"/>
    <w:rsid w:val="00901820"/>
    <w:rsid w:val="009206EA"/>
    <w:rsid w:val="00931D98"/>
    <w:rsid w:val="00933165"/>
    <w:rsid w:val="00940D81"/>
    <w:rsid w:val="0094312B"/>
    <w:rsid w:val="009561B6"/>
    <w:rsid w:val="009645FB"/>
    <w:rsid w:val="00982252"/>
    <w:rsid w:val="00982376"/>
    <w:rsid w:val="009B04CC"/>
    <w:rsid w:val="009B1FFD"/>
    <w:rsid w:val="009C0399"/>
    <w:rsid w:val="009C530D"/>
    <w:rsid w:val="009D2462"/>
    <w:rsid w:val="009D425D"/>
    <w:rsid w:val="009E4CBF"/>
    <w:rsid w:val="009F25A3"/>
    <w:rsid w:val="009F6CD4"/>
    <w:rsid w:val="00A025FA"/>
    <w:rsid w:val="00A0262E"/>
    <w:rsid w:val="00A05AF6"/>
    <w:rsid w:val="00A074EF"/>
    <w:rsid w:val="00A103C1"/>
    <w:rsid w:val="00A16542"/>
    <w:rsid w:val="00A17C6C"/>
    <w:rsid w:val="00A23B5E"/>
    <w:rsid w:val="00A34B21"/>
    <w:rsid w:val="00A36F35"/>
    <w:rsid w:val="00A45614"/>
    <w:rsid w:val="00A46250"/>
    <w:rsid w:val="00A60B12"/>
    <w:rsid w:val="00A75A2A"/>
    <w:rsid w:val="00A76C1A"/>
    <w:rsid w:val="00A84D6C"/>
    <w:rsid w:val="00A87C40"/>
    <w:rsid w:val="00A87FDA"/>
    <w:rsid w:val="00AA556C"/>
    <w:rsid w:val="00AA73FF"/>
    <w:rsid w:val="00AB34F7"/>
    <w:rsid w:val="00AC2660"/>
    <w:rsid w:val="00AC6B2F"/>
    <w:rsid w:val="00AD6C98"/>
    <w:rsid w:val="00AE4379"/>
    <w:rsid w:val="00AF2ED9"/>
    <w:rsid w:val="00B13C75"/>
    <w:rsid w:val="00B155C7"/>
    <w:rsid w:val="00B2591E"/>
    <w:rsid w:val="00B30969"/>
    <w:rsid w:val="00B34E5A"/>
    <w:rsid w:val="00B4597B"/>
    <w:rsid w:val="00B53A91"/>
    <w:rsid w:val="00B74A9D"/>
    <w:rsid w:val="00BA5A44"/>
    <w:rsid w:val="00BC5053"/>
    <w:rsid w:val="00BD1899"/>
    <w:rsid w:val="00BD7EB6"/>
    <w:rsid w:val="00BE2687"/>
    <w:rsid w:val="00BE7DCF"/>
    <w:rsid w:val="00BF0EC8"/>
    <w:rsid w:val="00BF6F3F"/>
    <w:rsid w:val="00C05706"/>
    <w:rsid w:val="00C23C8E"/>
    <w:rsid w:val="00C24D6D"/>
    <w:rsid w:val="00C37774"/>
    <w:rsid w:val="00C51E08"/>
    <w:rsid w:val="00C57673"/>
    <w:rsid w:val="00C60113"/>
    <w:rsid w:val="00C63BDA"/>
    <w:rsid w:val="00C67A44"/>
    <w:rsid w:val="00C77D1F"/>
    <w:rsid w:val="00C77E88"/>
    <w:rsid w:val="00C82E2C"/>
    <w:rsid w:val="00C93DF9"/>
    <w:rsid w:val="00CC3A52"/>
    <w:rsid w:val="00CC5545"/>
    <w:rsid w:val="00CD65CF"/>
    <w:rsid w:val="00CE01EF"/>
    <w:rsid w:val="00CE5F68"/>
    <w:rsid w:val="00CE6656"/>
    <w:rsid w:val="00CF0D1E"/>
    <w:rsid w:val="00CF19E2"/>
    <w:rsid w:val="00D137F3"/>
    <w:rsid w:val="00D170AA"/>
    <w:rsid w:val="00D23F31"/>
    <w:rsid w:val="00D33753"/>
    <w:rsid w:val="00D3677B"/>
    <w:rsid w:val="00D43E0C"/>
    <w:rsid w:val="00D61CCC"/>
    <w:rsid w:val="00D6415F"/>
    <w:rsid w:val="00D7057A"/>
    <w:rsid w:val="00D7173B"/>
    <w:rsid w:val="00D737E8"/>
    <w:rsid w:val="00D73CC5"/>
    <w:rsid w:val="00DA02F2"/>
    <w:rsid w:val="00DB4FD5"/>
    <w:rsid w:val="00DE444E"/>
    <w:rsid w:val="00DF02E6"/>
    <w:rsid w:val="00E02EE4"/>
    <w:rsid w:val="00E07CA0"/>
    <w:rsid w:val="00E40FFA"/>
    <w:rsid w:val="00E52E70"/>
    <w:rsid w:val="00E57EC4"/>
    <w:rsid w:val="00E6760B"/>
    <w:rsid w:val="00E73751"/>
    <w:rsid w:val="00E76F34"/>
    <w:rsid w:val="00E843FF"/>
    <w:rsid w:val="00E91509"/>
    <w:rsid w:val="00EA2FCE"/>
    <w:rsid w:val="00EA6ACF"/>
    <w:rsid w:val="00ED08B3"/>
    <w:rsid w:val="00EE3E2F"/>
    <w:rsid w:val="00EE68C9"/>
    <w:rsid w:val="00EF5C76"/>
    <w:rsid w:val="00EF6482"/>
    <w:rsid w:val="00F3440C"/>
    <w:rsid w:val="00F40C92"/>
    <w:rsid w:val="00F43A54"/>
    <w:rsid w:val="00F518D3"/>
    <w:rsid w:val="00F5577B"/>
    <w:rsid w:val="00F81C05"/>
    <w:rsid w:val="00F831A6"/>
    <w:rsid w:val="00F8519C"/>
    <w:rsid w:val="00FA1DB3"/>
    <w:rsid w:val="00FA3A14"/>
    <w:rsid w:val="00FA3B2F"/>
    <w:rsid w:val="00FB4EDE"/>
    <w:rsid w:val="00FD0FD8"/>
    <w:rsid w:val="00FE0A0B"/>
    <w:rsid w:val="00FE1BF7"/>
    <w:rsid w:val="00FE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0282"/>
  <w14:defaultImageDpi w14:val="32767"/>
  <w15:chartTrackingRefBased/>
  <w15:docId w15:val="{A56DE440-FD04-A34D-89EF-DCAC5511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0C"/>
    <w:rPr>
      <w:rFonts w:ascii="Times New Roman" w:hAnsi="Times New Roman"/>
    </w:rPr>
  </w:style>
  <w:style w:type="paragraph" w:styleId="Heading1">
    <w:name w:val="heading 1"/>
    <w:basedOn w:val="Normal"/>
    <w:next w:val="Normal"/>
    <w:link w:val="Heading1Char"/>
    <w:uiPriority w:val="9"/>
    <w:qFormat/>
    <w:rsid w:val="00552E9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E9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2E96"/>
    <w:pPr>
      <w:keepNext/>
      <w:keepLines/>
      <w:spacing w:before="40"/>
      <w:outlineLvl w:val="2"/>
    </w:pPr>
    <w:rPr>
      <w:rFonts w:eastAsiaTheme="majorEastAsia" w:cs="Times New Roman"/>
      <w:color w:val="1F3763" w:themeColor="accent1" w:themeShade="7F"/>
      <w:lang w:val="en-CA"/>
    </w:rPr>
  </w:style>
  <w:style w:type="paragraph" w:styleId="Heading4">
    <w:name w:val="heading 4"/>
    <w:basedOn w:val="Normal"/>
    <w:next w:val="Heading1"/>
    <w:link w:val="Heading4Char"/>
    <w:uiPriority w:val="9"/>
    <w:semiHidden/>
    <w:unhideWhenUsed/>
    <w:qFormat/>
    <w:rsid w:val="00552E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96"/>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552E96"/>
    <w:rPr>
      <w:rFonts w:ascii="Times New Roman" w:eastAsiaTheme="majorEastAsia" w:hAnsi="Times New Roman" w:cs="Times New Roman"/>
      <w:color w:val="1F3763" w:themeColor="accent1" w:themeShade="7F"/>
      <w:lang w:val="en-CA"/>
    </w:rPr>
  </w:style>
  <w:style w:type="character" w:customStyle="1" w:styleId="Heading2Char">
    <w:name w:val="Heading 2 Char"/>
    <w:basedOn w:val="DefaultParagraphFont"/>
    <w:link w:val="Heading2"/>
    <w:uiPriority w:val="9"/>
    <w:rsid w:val="00552E96"/>
    <w:rPr>
      <w:rFonts w:ascii="Times New Roman" w:eastAsiaTheme="majorEastAsia" w:hAnsi="Times New Roman"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52E9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E6760B"/>
    <w:rPr>
      <w:rFonts w:cs="Times New Roman"/>
      <w:sz w:val="18"/>
      <w:szCs w:val="18"/>
    </w:rPr>
  </w:style>
  <w:style w:type="character" w:customStyle="1" w:styleId="BalloonTextChar">
    <w:name w:val="Balloon Text Char"/>
    <w:basedOn w:val="DefaultParagraphFont"/>
    <w:link w:val="BalloonText"/>
    <w:uiPriority w:val="99"/>
    <w:semiHidden/>
    <w:rsid w:val="00E6760B"/>
    <w:rPr>
      <w:rFonts w:ascii="Times New Roman" w:hAnsi="Times New Roman" w:cs="Times New Roman"/>
      <w:sz w:val="18"/>
      <w:szCs w:val="18"/>
    </w:rPr>
  </w:style>
  <w:style w:type="paragraph" w:styleId="Header">
    <w:name w:val="header"/>
    <w:basedOn w:val="Normal"/>
    <w:link w:val="HeaderChar"/>
    <w:uiPriority w:val="99"/>
    <w:unhideWhenUsed/>
    <w:rsid w:val="00AC2660"/>
    <w:pPr>
      <w:tabs>
        <w:tab w:val="center" w:pos="4680"/>
        <w:tab w:val="right" w:pos="9360"/>
      </w:tabs>
    </w:pPr>
  </w:style>
  <w:style w:type="character" w:customStyle="1" w:styleId="HeaderChar">
    <w:name w:val="Header Char"/>
    <w:basedOn w:val="DefaultParagraphFont"/>
    <w:link w:val="Header"/>
    <w:uiPriority w:val="99"/>
    <w:rsid w:val="00AC2660"/>
    <w:rPr>
      <w:rFonts w:ascii="Times New Roman" w:hAnsi="Times New Roman"/>
    </w:rPr>
  </w:style>
  <w:style w:type="paragraph" w:styleId="Footer">
    <w:name w:val="footer"/>
    <w:basedOn w:val="Normal"/>
    <w:link w:val="FooterChar"/>
    <w:uiPriority w:val="99"/>
    <w:unhideWhenUsed/>
    <w:rsid w:val="00AC2660"/>
    <w:pPr>
      <w:tabs>
        <w:tab w:val="center" w:pos="4680"/>
        <w:tab w:val="right" w:pos="9360"/>
      </w:tabs>
    </w:pPr>
  </w:style>
  <w:style w:type="character" w:customStyle="1" w:styleId="FooterChar">
    <w:name w:val="Footer Char"/>
    <w:basedOn w:val="DefaultParagraphFont"/>
    <w:link w:val="Footer"/>
    <w:uiPriority w:val="99"/>
    <w:rsid w:val="00AC2660"/>
    <w:rPr>
      <w:rFonts w:ascii="Times New Roman" w:hAnsi="Times New Roman"/>
    </w:rPr>
  </w:style>
  <w:style w:type="character" w:styleId="PageNumber">
    <w:name w:val="page number"/>
    <w:basedOn w:val="DefaultParagraphFont"/>
    <w:uiPriority w:val="99"/>
    <w:semiHidden/>
    <w:unhideWhenUsed/>
    <w:rsid w:val="00AC2660"/>
  </w:style>
  <w:style w:type="paragraph" w:styleId="Revision">
    <w:name w:val="Revision"/>
    <w:hidden/>
    <w:uiPriority w:val="99"/>
    <w:semiHidden/>
    <w:rsid w:val="00802ACF"/>
    <w:rPr>
      <w:rFonts w:ascii="Times New Roman" w:hAnsi="Times New Roman"/>
    </w:rPr>
  </w:style>
  <w:style w:type="character" w:styleId="CommentReference">
    <w:name w:val="annotation reference"/>
    <w:basedOn w:val="DefaultParagraphFont"/>
    <w:uiPriority w:val="99"/>
    <w:semiHidden/>
    <w:unhideWhenUsed/>
    <w:rsid w:val="00D73CC5"/>
    <w:rPr>
      <w:sz w:val="16"/>
      <w:szCs w:val="16"/>
    </w:rPr>
  </w:style>
  <w:style w:type="paragraph" w:styleId="CommentText">
    <w:name w:val="annotation text"/>
    <w:basedOn w:val="Normal"/>
    <w:link w:val="CommentTextChar"/>
    <w:uiPriority w:val="99"/>
    <w:unhideWhenUsed/>
    <w:rsid w:val="00D73CC5"/>
    <w:rPr>
      <w:sz w:val="20"/>
      <w:szCs w:val="20"/>
    </w:rPr>
  </w:style>
  <w:style w:type="character" w:customStyle="1" w:styleId="CommentTextChar">
    <w:name w:val="Comment Text Char"/>
    <w:basedOn w:val="DefaultParagraphFont"/>
    <w:link w:val="CommentText"/>
    <w:uiPriority w:val="99"/>
    <w:rsid w:val="00D73C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73CC5"/>
    <w:rPr>
      <w:b/>
      <w:bCs/>
    </w:rPr>
  </w:style>
  <w:style w:type="character" w:customStyle="1" w:styleId="CommentSubjectChar">
    <w:name w:val="Comment Subject Char"/>
    <w:basedOn w:val="CommentTextChar"/>
    <w:link w:val="CommentSubject"/>
    <w:uiPriority w:val="99"/>
    <w:semiHidden/>
    <w:rsid w:val="00D73CC5"/>
    <w:rPr>
      <w:rFonts w:ascii="Times New Roman" w:hAnsi="Times New Roman"/>
      <w:b/>
      <w:bCs/>
      <w:sz w:val="20"/>
      <w:szCs w:val="20"/>
    </w:rPr>
  </w:style>
  <w:style w:type="paragraph" w:styleId="ListParagraph">
    <w:name w:val="List Paragraph"/>
    <w:basedOn w:val="Normal"/>
    <w:uiPriority w:val="34"/>
    <w:qFormat/>
    <w:rsid w:val="00AA556C"/>
    <w:pPr>
      <w:ind w:left="720"/>
      <w:contextualSpacing/>
    </w:pPr>
  </w:style>
  <w:style w:type="table" w:styleId="TableGrid">
    <w:name w:val="Table Grid"/>
    <w:basedOn w:val="TableNormal"/>
    <w:uiPriority w:val="39"/>
    <w:rsid w:val="00BE2687"/>
    <w:rPr>
      <w:rFonts w:cstheme="min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7989ED0-DF66-4FCD-BAC5-F6E5F7E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16022</Words>
  <Characters>96453</Characters>
  <Application>Microsoft Office Word</Application>
  <DocSecurity>0</DocSecurity>
  <Lines>1819</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Branzei, Oana</cp:lastModifiedBy>
  <cp:revision>6</cp:revision>
  <dcterms:created xsi:type="dcterms:W3CDTF">2025-09-22T21:44:00Z</dcterms:created>
  <dcterms:modified xsi:type="dcterms:W3CDTF">2025-11-02T23:22:00Z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970ac971-6a88-3fee-865d-c5bb85a1a3b7</vt:lpwstr>
  </property>
  <property fmtid="{D5CDD505-2E9C-101B-9397-08002B2CF9AE}" pid="4" name="Mendeley Citation Style_1">
    <vt:lpwstr>http://www.zotero.org/styles/academy-of-management-journal</vt:lpwstr>
  </property>
  <property fmtid="{D5CDD505-2E9C-101B-9397-08002B2CF9AE}" pid="5" name="Mendeley Recent Style Id 0_1">
    <vt:lpwstr>http://www.zotero.org/styles/academy-of-management-journal</vt:lpwstr>
  </property>
  <property fmtid="{D5CDD505-2E9C-101B-9397-08002B2CF9AE}" pid="6" name="Mendeley Recent Style Name 0_1">
    <vt:lpwstr>Academy of Management Journal</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http://www.zotero.org/styles/organization-studies</vt:lpwstr>
  </property>
  <property fmtid="{D5CDD505-2E9C-101B-9397-08002B2CF9AE}" pid="24" name="Mendeley Recent Style Name 9_1">
    <vt:lpwstr>Organization Studies</vt:lpwstr>
  </property>
  <property fmtid="{D5CDD505-2E9C-101B-9397-08002B2CF9AE}" pid="25" name="MSIP_Label_9e804de9-5306-4a8f-920e-16c68d5498ba_Enabled">
    <vt:lpwstr>true</vt:lpwstr>
  </property>
  <property fmtid="{D5CDD505-2E9C-101B-9397-08002B2CF9AE}" pid="26" name="MSIP_Label_9e804de9-5306-4a8f-920e-16c68d5498ba_SetDate">
    <vt:lpwstr>2025-11-02T22:39:39Z</vt:lpwstr>
  </property>
  <property fmtid="{D5CDD505-2E9C-101B-9397-08002B2CF9AE}" pid="27" name="MSIP_Label_9e804de9-5306-4a8f-920e-16c68d5498ba_Method">
    <vt:lpwstr>Standard</vt:lpwstr>
  </property>
  <property fmtid="{D5CDD505-2E9C-101B-9397-08002B2CF9AE}" pid="28" name="MSIP_Label_9e804de9-5306-4a8f-920e-16c68d5498ba_Name">
    <vt:lpwstr>Public</vt:lpwstr>
  </property>
  <property fmtid="{D5CDD505-2E9C-101B-9397-08002B2CF9AE}" pid="29" name="MSIP_Label_9e804de9-5306-4a8f-920e-16c68d5498ba_SiteId">
    <vt:lpwstr>547040db-1855-4320-9738-e6878f6271fc</vt:lpwstr>
  </property>
  <property fmtid="{D5CDD505-2E9C-101B-9397-08002B2CF9AE}" pid="30" name="MSIP_Label_9e804de9-5306-4a8f-920e-16c68d5498ba_ActionId">
    <vt:lpwstr>2070a71a-d943-44cd-947f-00e294eb1521</vt:lpwstr>
  </property>
  <property fmtid="{D5CDD505-2E9C-101B-9397-08002B2CF9AE}" pid="31" name="MSIP_Label_9e804de9-5306-4a8f-920e-16c68d5498ba_ContentBits">
    <vt:lpwstr>0</vt:lpwstr>
  </property>
  <property fmtid="{D5CDD505-2E9C-101B-9397-08002B2CF9AE}" pid="32" name="MSIP_Label_9e804de9-5306-4a8f-920e-16c68d5498ba_Tag">
    <vt:lpwstr>10, 3, 0, 1</vt:lpwstr>
  </property>
</Properties>
</file>