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D4D" w:rsidRPr="001D43DD" w:rsidRDefault="005C0D4D" w:rsidP="005C0D4D">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Title: </w:t>
      </w:r>
      <w:r w:rsidRPr="001D43DD">
        <w:rPr>
          <w:rFonts w:ascii="Times New Roman" w:hAnsi="Times New Roman" w:cs="Times New Roman"/>
          <w:b/>
          <w:sz w:val="24"/>
          <w:szCs w:val="24"/>
        </w:rPr>
        <w:t>Pragmatic Ambiguity in Situations of Enduring Institutional Complexity</w:t>
      </w:r>
    </w:p>
    <w:p w:rsidR="00734DB5" w:rsidRDefault="00734DB5" w:rsidP="00734DB5">
      <w:pPr>
        <w:pStyle w:val="NoSpacing"/>
        <w:rPr>
          <w:rFonts w:ascii="Times New Roman" w:hAnsi="Times New Roman" w:cs="Times New Roman"/>
          <w:b/>
          <w:sz w:val="24"/>
          <w:szCs w:val="24"/>
        </w:rPr>
      </w:pPr>
    </w:p>
    <w:p w:rsidR="005A619D" w:rsidRPr="00734DB5" w:rsidRDefault="005A619D" w:rsidP="005C0D4D">
      <w:pPr>
        <w:pStyle w:val="NoSpacing"/>
        <w:rPr>
          <w:rFonts w:ascii="Times New Roman" w:hAnsi="Times New Roman" w:cs="Times New Roman"/>
          <w:b/>
          <w:sz w:val="24"/>
          <w:szCs w:val="24"/>
        </w:rPr>
      </w:pPr>
      <w:r>
        <w:rPr>
          <w:rFonts w:ascii="Times New Roman" w:hAnsi="Times New Roman" w:cs="Times New Roman"/>
          <w:b/>
          <w:sz w:val="24"/>
          <w:szCs w:val="24"/>
        </w:rPr>
        <w:t>RELEVANCE AND TIMELINESS</w:t>
      </w:r>
    </w:p>
    <w:p w:rsidR="005A619D" w:rsidRDefault="005A619D" w:rsidP="005C0D4D">
      <w:pPr>
        <w:pStyle w:val="NoSpacing"/>
        <w:rPr>
          <w:rFonts w:ascii="Times New Roman" w:hAnsi="Times New Roman" w:cs="Times New Roman"/>
          <w:sz w:val="24"/>
        </w:rPr>
      </w:pPr>
      <w:r>
        <w:rPr>
          <w:rFonts w:ascii="Times New Roman" w:hAnsi="Times New Roman" w:cs="Times New Roman"/>
          <w:sz w:val="24"/>
        </w:rPr>
        <w:t xml:space="preserve">Corporate social responsibility (CSR) </w:t>
      </w:r>
      <w:r>
        <w:rPr>
          <w:rFonts w:ascii="Times New Roman" w:hAnsi="Times New Roman" w:cs="Times New Roman"/>
          <w:sz w:val="24"/>
          <w:szCs w:val="24"/>
        </w:rPr>
        <w:t xml:space="preserve">plays a central role in the way we understand the relationship between companies and larger society. As CSR practices have become more commonplace at firms, management scholars have devoted increasing attention to why firms engage in CSR (i.e., antecedents) and </w:t>
      </w:r>
      <w:r>
        <w:rPr>
          <w:rFonts w:ascii="Times New Roman" w:hAnsi="Times New Roman" w:cs="Times New Roman"/>
          <w:sz w:val="24"/>
        </w:rPr>
        <w:t>how such activities may result in firm benefit (i.e., outcomes)</w:t>
      </w:r>
      <w:r w:rsidRPr="00E4282F">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&lt;EndNote&gt;&lt;Cite&gt;&lt;Author&gt;Wang&lt;/Author&gt;&lt;Year&gt;2016&lt;/Year&gt;&lt;RecNum&gt;784&lt;/RecNum&gt;&lt;DisplayText&gt;(Aguinis and Glavas 2012, Wang et al. 2016)&lt;/DisplayText&gt;&lt;record&gt;&lt;rec-number&gt;784&lt;/rec-number&gt;&lt;foreign-keys&gt;&lt;key app="EN" db-id="5aadrz0sn52ewfexr2kxs9tlatdfef5zefw9" timestamp="1462315495"&gt;784&lt;/key&gt;&lt;/foreign-keys&gt;&lt;ref-type name="Journal Article"&gt;17&lt;/ref-type&gt;&lt;contributors&gt;&lt;authors&gt;&lt;author&gt;Wang, Heli&lt;/author&gt;&lt;author&gt;Tong, Li&lt;/author&gt;&lt;author&gt;Takeuchi, Riki&lt;/author&gt;&lt;author&gt;George, Gerard&lt;/author&gt;&lt;/authors&gt;&lt;/contributors&gt;&lt;titles&gt;&lt;title&gt;Corporate Social Responsibility: An Overview and New Research Directions Thematic Issue on Corporate Social Responsibility&lt;/title&gt;&lt;secondary-title&gt;Academy of Management Journal&lt;/secondary-title&gt;&lt;/titles&gt;&lt;periodical&gt;&lt;full-title&gt;Academy of Management Journal&lt;/full-title&gt;&lt;abbr-1&gt;Acad. Manage. J.&lt;/abbr-1&gt;&lt;/periodical&gt;&lt;pages&gt;534-544&lt;/pages&gt;&lt;volume&gt;59&lt;/volume&gt;&lt;number&gt;2&lt;/number&gt;&lt;dates&gt;&lt;year&gt;2016&lt;/year&gt;&lt;/dates&gt;&lt;isbn&gt;0001-4273&lt;/isbn&gt;&lt;urls&gt;&lt;/urls&gt;&lt;/record&gt;&lt;/Cite&gt;&lt;Cite&gt;&lt;Author&gt;Aguinis&lt;/Author&gt;&lt;Year&gt;2012&lt;/Year&gt;&lt;RecNum&gt;276&lt;/RecNum&gt;&lt;record&gt;&lt;rec-number&gt;276&lt;/rec-number&gt;&lt;foreign-keys&gt;&lt;key app="EN" db-id="5aadrz0sn52ewfexr2kxs9tlatdfef5zefw9" timestamp="1420663116"&gt;276&lt;/key&gt;&lt;/foreign-keys&gt;&lt;ref-type name="Journal Article"&gt;17&lt;/ref-type&gt;&lt;contributors&gt;&lt;authors&gt;&lt;author&gt;Aguinis, Herman&lt;/author&gt;&lt;author&gt;Glavas, Ante&lt;/author&gt;&lt;/authors&gt;&lt;/contributors&gt;&lt;titles&gt;&lt;title&gt;What we know and don’t know about corporate social responsibility a review and research agenda&lt;/title&gt;&lt;secondary-title&gt;Journal of Management&lt;/secondary-title&gt;&lt;/titles&gt;&lt;periodical&gt;&lt;full-title&gt;Journal of Management&lt;/full-title&gt;&lt;/periodical&gt;&lt;pages&gt;932-968&lt;/pages&gt;&lt;volume&gt;38&lt;/volume&gt;&lt;number&gt;4&lt;/number&gt;&lt;dates&gt;&lt;year&gt;2012&lt;/year&gt;&lt;/dates&gt;&lt;isbn&gt;0149-2063&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(Aguinis and Glavas 2012, Wang et al. 2016)</w:t>
      </w:r>
      <w:r>
        <w:rPr>
          <w:rFonts w:ascii="Times New Roman" w:hAnsi="Times New Roman" w:cs="Times New Roman"/>
          <w:sz w:val="24"/>
        </w:rPr>
        <w:fldChar w:fldCharType="end"/>
      </w:r>
      <w:r>
        <w:rPr>
          <w:rFonts w:ascii="Times New Roman" w:hAnsi="Times New Roman" w:cs="Times New Roman"/>
          <w:sz w:val="24"/>
        </w:rPr>
        <w:t xml:space="preserve">. For example, scholars continue to debate how these practices impact profit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&lt;EndNote&gt;&lt;Cite&gt;&lt;Author&gt;Margolis&lt;/Author&gt;&lt;Year&gt;2003&lt;/Year&gt;&lt;RecNum&gt;235&lt;/RecNum&gt;&lt;DisplayText&gt;(Margolis and Walsh 2003)&lt;/DisplayText&gt;&lt;record&gt;&lt;rec-number&gt;235&lt;/rec-number&gt;&lt;foreign-keys&gt;&lt;key app="EN" db-id="5aadrz0sn52ewfexr2kxs9tlatdfef5zefw9" timestamp="1420663116"&gt;235&lt;/key&gt;&lt;/foreign-keys&gt;&lt;ref-type name="Journal Article"&gt;17&lt;/ref-type&gt;&lt;contributors&gt;&lt;authors&gt;&lt;author&gt;Margolis, Joshua D&lt;/author&gt;&lt;author&gt;Walsh, James P&lt;/author&gt;&lt;/authors&gt;&lt;/contributors&gt;&lt;titles&gt;&lt;title&gt;Misery loves companies: Rethinking social initiatives by business&lt;/title&gt;&lt;secondary-title&gt;Administrative Science Quarterly&lt;/secondary-title&gt;&lt;/titles&gt;&lt;periodical&gt;&lt;full-title&gt;Administrative Science Quarterly&lt;/full-title&gt;&lt;abbr-1&gt;Adm. Sci. Q.&lt;/abbr-1&gt;&lt;/periodical&gt;&lt;pages&gt;268-305&lt;/pages&gt;&lt;volume&gt;48&lt;/volume&gt;&lt;number&gt;2&lt;/number&gt;&lt;dates&gt;&lt;year&gt;2003&lt;/year&gt;&lt;/dates&gt;&lt;isbn&gt;0001-8392&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(Margolis and Walsh 2003)</w:t>
      </w:r>
      <w:r>
        <w:rPr>
          <w:rFonts w:ascii="Times New Roman" w:hAnsi="Times New Roman" w:cs="Times New Roman"/>
          <w:sz w:val="24"/>
        </w:rPr>
        <w:fldChar w:fldCharType="end"/>
      </w:r>
      <w:r>
        <w:rPr>
          <w:rFonts w:ascii="Times New Roman" w:hAnsi="Times New Roman" w:cs="Times New Roman"/>
          <w:sz w:val="24"/>
        </w:rPr>
        <w:t xml:space="preserve">, affect consumers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&lt;EndNote&gt;&lt;Cite&gt;&lt;Author&gt;Burt&lt;/Author&gt;&lt;Year&gt;1983&lt;/Year&gt;&lt;RecNum&gt;252&lt;/RecNum&gt;&lt;DisplayText&gt;(Burt 1983)&lt;/DisplayText&gt;&lt;record&gt;&lt;rec-number&gt;252&lt;/rec-number&gt;&lt;foreign-keys&gt;&lt;key app="EN" db-id="5aadrz0sn52ewfexr2kxs9tlatdfef5zefw9" timestamp="1420663116"&gt;252&lt;/key&gt;&lt;/foreign-keys&gt;&lt;ref-type name="Journal Article"&gt;17&lt;/ref-type&gt;&lt;contributors&gt;&lt;authors&gt;&lt;author&gt;Burt, Ronald S&lt;/author&gt;&lt;/authors&gt;&lt;/contributors&gt;&lt;titles&gt;&lt;title&gt;Corporate philanthropy as a cooptive relation&lt;/title&gt;&lt;secondary-title&gt;Social Forces&lt;/secondary-title&gt;&lt;/titles&gt;&lt;periodical&gt;&lt;full-title&gt;Social Forces&lt;/full-title&gt;&lt;/periodical&gt;&lt;pages&gt;419-449&lt;/pages&gt;&lt;volume&gt;62&lt;/volume&gt;&lt;number&gt;2&lt;/number&gt;&lt;dates&gt;&lt;year&gt;1983&lt;/year&gt;&lt;/dates&gt;&lt;isbn&gt;0037-7732&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(Burt 1983)</w:t>
      </w:r>
      <w:r>
        <w:rPr>
          <w:rFonts w:ascii="Times New Roman" w:hAnsi="Times New Roman" w:cs="Times New Roman"/>
          <w:sz w:val="24"/>
        </w:rPr>
        <w:fldChar w:fldCharType="end"/>
      </w:r>
      <w:r>
        <w:rPr>
          <w:rFonts w:ascii="Times New Roman" w:hAnsi="Times New Roman" w:cs="Times New Roman"/>
          <w:sz w:val="24"/>
        </w:rPr>
        <w:t xml:space="preserve">, and influence reputations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&lt;EndNote&gt;&lt;Cite&gt;&lt;Author&gt;Brammer&lt;/Author&gt;&lt;Year&gt;2005&lt;/Year&gt;&lt;RecNum&gt;265&lt;/RecNum&gt;&lt;DisplayText&gt;(Brammer and Millington 2005)&lt;/DisplayText&gt;&lt;record&gt;&lt;rec-number&gt;265&lt;/rec-number&gt;&lt;foreign-keys&gt;&lt;key app="EN" db-id="5aadrz0sn52ewfexr2kxs9tlatdfef5zefw9" timestamp="1420663116"&gt;265&lt;/key&gt;&lt;/foreign-keys&gt;&lt;ref-type name="Journal Article"&gt;17&lt;/ref-type&gt;&lt;contributors&gt;&lt;authors&gt;&lt;author&gt;Brammer, Stephen&lt;/author&gt;&lt;author&gt;Millington, Andrew&lt;/author&gt;&lt;/authors&gt;&lt;/contributors&gt;&lt;titles&gt;&lt;title&gt;Corporate reputation and philanthropy: An empirical analysis&lt;/title&gt;&lt;secondary-title&gt;Journal of Business Ethics&lt;/secondary-title&gt;&lt;/titles&gt;&lt;periodical&gt;&lt;full-title&gt;Journal of Business Ethics&lt;/full-title&gt;&lt;/periodical&gt;&lt;pages&gt;29-44&lt;/pages&gt;&lt;volume&gt;61&lt;/volume&gt;&lt;number&gt;1&lt;/number&gt;&lt;dates&gt;&lt;year&gt;2005&lt;/year&gt;&lt;/dates&gt;&lt;isbn&gt;0167-4544&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(Brammer and Millington 2005)</w:t>
      </w:r>
      <w:r>
        <w:rPr>
          <w:rFonts w:ascii="Times New Roman" w:hAnsi="Times New Roman" w:cs="Times New Roman"/>
          <w:sz w:val="24"/>
        </w:rPr>
        <w:fldChar w:fldCharType="end"/>
      </w:r>
      <w:r>
        <w:rPr>
          <w:rFonts w:ascii="Times New Roman" w:hAnsi="Times New Roman" w:cs="Times New Roman"/>
          <w:sz w:val="24"/>
        </w:rPr>
        <w:t xml:space="preserve">. </w:t>
      </w:r>
      <w:r w:rsidRPr="00D446BE">
        <w:rPr>
          <w:rFonts w:ascii="Times New Roman" w:hAnsi="Times New Roman" w:cs="Times New Roman"/>
          <w:sz w:val="24"/>
          <w:szCs w:val="24"/>
        </w:rPr>
        <w:t>Yet, in their dedication t</w:t>
      </w:r>
      <w:r>
        <w:rPr>
          <w:rFonts w:ascii="Times New Roman" w:hAnsi="Times New Roman" w:cs="Times New Roman"/>
          <w:sz w:val="24"/>
          <w:szCs w:val="24"/>
        </w:rPr>
        <w:t>o studying firm-level effects</w:t>
      </w:r>
      <w:r w:rsidRPr="00D446BE">
        <w:rPr>
          <w:rFonts w:ascii="Times New Roman" w:hAnsi="Times New Roman" w:cs="Times New Roman"/>
          <w:sz w:val="24"/>
          <w:szCs w:val="24"/>
        </w:rPr>
        <w:t xml:space="preserve">, many researchers have taken for granted the processes by which </w:t>
      </w:r>
      <w:r>
        <w:rPr>
          <w:rFonts w:ascii="Times New Roman" w:hAnsi="Times New Roman" w:cs="Times New Roman"/>
          <w:sz w:val="24"/>
          <w:szCs w:val="24"/>
        </w:rPr>
        <w:t xml:space="preserve">firms make decisions about and implement socially responsibly activities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&lt;EndNote&gt;&lt;Cite&gt;&lt;Author&gt;Wang&lt;/Author&gt;&lt;Year&gt;2016&lt;/Year&gt;&lt;RecNum&gt;784&lt;/RecNum&gt;&lt;DisplayText&gt;(Wang et al. 2016)&lt;/DisplayText&gt;&lt;record&gt;&lt;rec-number&gt;784&lt;/rec-number&gt;&lt;foreign-keys&gt;&lt;key app="EN" db-id="5aadrz0sn52ewfexr2kxs9tlatdfef5zefw9" timestamp="1462315495"&gt;784&lt;/key&gt;&lt;/foreign-keys&gt;&lt;ref-type name="Journal Article"&gt;17&lt;/ref-type&gt;&lt;contributors&gt;&lt;authors&gt;&lt;author&gt;Wang, Heli&lt;/author&gt;&lt;author&gt;Tong, Li&lt;/author&gt;&lt;author&gt;Takeuchi, Riki&lt;/author&gt;&lt;author&gt;George, Gerard&lt;/author&gt;&lt;/authors&gt;&lt;/contributors&gt;&lt;titles&gt;&lt;title&gt;Corporate Social Responsibility: An Overview and New Research Directions Thematic Issue on Corporate Social Responsibility&lt;/title&gt;&lt;secondary-title&gt;Academy of Management Journal&lt;/secondary-title&gt;&lt;/titles&gt;&lt;periodical&gt;&lt;full-title&gt;Academy of Management Journal&lt;/full-title&gt;&lt;abbr-1&gt;Acad. Manage. J.&lt;/abbr-1&gt;&lt;/periodical&gt;&lt;pages&gt;534-544&lt;/pages&gt;&lt;volume&gt;59&lt;/volume&gt;&lt;number&gt;2&lt;/number&gt;&lt;dates&gt;&lt;year&gt;2016&lt;/year&gt;&lt;/dates&gt;&lt;isbn&gt;0001-4273&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(Wang et al. 2016)</w:t>
      </w:r>
      <w:r>
        <w:rPr>
          <w:rFonts w:ascii="Times New Roman" w:hAnsi="Times New Roman" w:cs="Times New Roman"/>
          <w:sz w:val="24"/>
        </w:rPr>
        <w:fldChar w:fldCharType="end"/>
      </w:r>
      <w:r>
        <w:rPr>
          <w:rFonts w:ascii="Times New Roman" w:hAnsi="Times New Roman" w:cs="Times New Roman"/>
          <w:sz w:val="24"/>
        </w:rPr>
        <w:t xml:space="preserve">. While a growing literature reveals how social enterprises and hybrids navigate conflicts between social welfare and profit goals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&lt;EndNote&gt;&lt;Cite&gt;&lt;Author&gt;Battilana&lt;/Author&gt;&lt;Year&gt;2014&lt;/Year&gt;&lt;RecNum&gt;573&lt;/RecNum&gt;&lt;Prefix&gt;e.g.`, &lt;/Prefix&gt;&lt;DisplayText&gt;(e.g., Battilana and Lee 2014)&lt;/DisplayText&gt;&lt;record&gt;&lt;rec-number&gt;573&lt;/rec-number&gt;&lt;foreign-keys&gt;&lt;key app="EN" db-id="5aadrz0sn52ewfexr2kxs9tlatdfef5zefw9" timestamp="1428254816"&gt;573&lt;/key&gt;&lt;/foreign-keys&gt;&lt;ref-type name="Journal Article"&gt;17&lt;/ref-type&gt;&lt;contributors&gt;&lt;authors&gt;&lt;author&gt;Battilana, Julie&lt;/author&gt;&lt;author&gt;Lee, Matthew&lt;/author&gt;&lt;/authors&gt;&lt;/contributors&gt;&lt;titles&gt;&lt;title&gt;Advancing research on hybrid organizing–Insights from the study of social enterprises&lt;/title&gt;&lt;secondary-title&gt;The Academy of Management Annals&lt;/secondary-title&gt;&lt;/titles&gt;&lt;periodical&gt;&lt;full-title&gt;The Academy of Management Annals&lt;/full-title&gt;&lt;/periodical&gt;&lt;pages&gt;397-441&lt;/pages&gt;&lt;volume&gt;8&lt;/volume&gt;&lt;number&gt;1&lt;/number&gt;&lt;dates&gt;&lt;year&gt;2014&lt;/year&gt;&lt;/dates&gt;&lt;isbn&gt;1941-6520&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(e.g., Battilana and Lee 2014)</w:t>
      </w:r>
      <w:r>
        <w:rPr>
          <w:rFonts w:ascii="Times New Roman" w:hAnsi="Times New Roman" w:cs="Times New Roman"/>
          <w:sz w:val="24"/>
        </w:rPr>
        <w:fldChar w:fldCharType="end"/>
      </w:r>
      <w:r>
        <w:rPr>
          <w:rFonts w:ascii="Times New Roman" w:hAnsi="Times New Roman" w:cs="Times New Roman"/>
          <w:sz w:val="24"/>
        </w:rPr>
        <w:t xml:space="preserve">, we know much less about the how large, for-profit firms conceptualize and carry out socially responsible action. </w:t>
      </w:r>
    </w:p>
    <w:p w:rsidR="005C0D4D" w:rsidRDefault="005C0D4D" w:rsidP="005C0D4D">
      <w:pPr>
        <w:pStyle w:val="NoSpacing"/>
        <w:rPr>
          <w:rFonts w:ascii="Times New Roman" w:hAnsi="Times New Roman" w:cs="Times New Roman"/>
          <w:sz w:val="24"/>
          <w:szCs w:val="24"/>
        </w:rPr>
      </w:pPr>
    </w:p>
    <w:p w:rsidR="00E330B0" w:rsidRDefault="005A619D" w:rsidP="005C0D4D">
      <w:pPr>
        <w:pStyle w:val="NoSpacing"/>
        <w:rPr>
          <w:rFonts w:ascii="Times New Roman" w:hAnsi="Times New Roman" w:cs="Times New Roman"/>
          <w:sz w:val="24"/>
          <w:szCs w:val="24"/>
        </w:rPr>
      </w:pPr>
      <w:r>
        <w:rPr>
          <w:rFonts w:ascii="Times New Roman" w:hAnsi="Times New Roman" w:cs="Times New Roman"/>
          <w:sz w:val="24"/>
          <w:szCs w:val="24"/>
        </w:rPr>
        <w:t xml:space="preserve">Corporate philanthropy is typically regarded as the oldest and most prominent CSR activity, alongside other activities such as employee volunteering, ethical governance, and </w:t>
      </w:r>
      <w:r w:rsidR="00E330B0">
        <w:rPr>
          <w:rFonts w:ascii="Times New Roman" w:hAnsi="Times New Roman" w:cs="Times New Roman"/>
          <w:sz w:val="24"/>
          <w:szCs w:val="24"/>
        </w:rPr>
        <w:t>sustainability</w:t>
      </w:r>
      <w:r>
        <w:rPr>
          <w:rFonts w:ascii="Times New Roman" w:hAnsi="Times New Roman" w:cs="Times New Roman"/>
          <w:sz w:val="24"/>
          <w:szCs w:val="24"/>
        </w:rPr>
        <w:t>. C</w:t>
      </w:r>
      <w:r>
        <w:rPr>
          <w:rFonts w:ascii="Times New Roman" w:hAnsi="Times New Roman" w:cs="Times New Roman"/>
          <w:sz w:val="24"/>
        </w:rPr>
        <w:t xml:space="preserve">orporate philanthropy consists of the voluntary transfer of cash, products, or other assets from firms, typically to nonprofit organizations, for public purposes. Partly because the activity dates back to the 1950s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&lt;EndNote&gt;&lt;Cite&gt;&lt;Author&gt;Clemens&lt;/Author&gt;&lt;Year&gt;2015&lt;/Year&gt;&lt;RecNum&gt;556&lt;/RecNum&gt;&lt;Prefix&gt;and even before`, &lt;/Prefix&gt;&lt;DisplayText&gt;(and even before, Clemens 2015)&lt;/DisplayText&gt;&lt;record&gt;&lt;rec-number&gt;556&lt;/rec-number&gt;&lt;foreign-keys&gt;&lt;key app="EN" db-id="5aadrz0sn52ewfexr2kxs9tlatdfef5zefw9" timestamp="1426554447"&gt;556&lt;/key&gt;&lt;/foreign-keys&gt;&lt;ref-type name="Book Section"&gt;5&lt;/ref-type&gt;&lt;contributors&gt;&lt;authors&gt;&lt;author&gt;Clemens, Elisabeth&lt;/author&gt;&lt;/authors&gt;&lt;/contributors&gt;&lt;titles&gt;&lt;title&gt;The Democratic Dilemma: Aligning Fields of Elite Influence and Political Equality&lt;/title&gt;&lt;secondary-title&gt;Elites on Trial&lt;/secondary-title&gt;&lt;/titles&gt;&lt;pages&gt;223-241&lt;/pages&gt;&lt;dates&gt;&lt;year&gt;2015&lt;/year&gt;&lt;/dates&gt;&lt;publisher&gt;Emerald Group Publishing Limited&lt;/publisher&gt;&lt;isbn&gt;1784416800&lt;/isbn&gt;&lt;urls&gt;&lt;/urls&gt;&lt;/record&gt;&lt;/Cite&gt;&lt;/EndNote&gt;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(and even before, Clemens 2015)</w:t>
      </w:r>
      <w:r>
        <w:rPr>
          <w:rFonts w:ascii="Times New Roman" w:hAnsi="Times New Roman" w:cs="Times New Roman"/>
          <w:sz w:val="24"/>
        </w:rPr>
        <w:fldChar w:fldCharType="end"/>
      </w:r>
      <w:r>
        <w:rPr>
          <w:rFonts w:ascii="Times New Roman" w:hAnsi="Times New Roman" w:cs="Times New Roman"/>
          <w:sz w:val="24"/>
        </w:rPr>
        <w:t xml:space="preserve">, corporate giving has been one of the most frequently studied CSR activities </w:t>
      </w:r>
      <w:r w:rsidRPr="00B97BE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&lt;EndNote&gt;&lt;Cite&gt;&lt;Author&gt;Gautier&lt;/Author&gt;&lt;Year&gt;2013&lt;/Year&gt;&lt;RecNum&gt;506&lt;/RecNum&gt;&lt;Prefix&gt;for a review`, see &lt;/Prefix&gt;&lt;DisplayText&gt;(for a review, see Gautier and Pache 2013)&lt;/DisplayText&gt;&lt;record&gt;&lt;rec-number&gt;506&lt;/rec-number&gt;&lt;foreign-keys&gt;&lt;key app="EN" db-id="5aadrz0sn52ewfexr2kxs9tlatdfef5zefw9" timestamp="1420663215"&gt;506&lt;/key&gt;&lt;/foreign-keys&gt;&lt;ref-type name="Journal Article"&gt;17&lt;/ref-type&gt;&lt;contributors&gt;&lt;authors&gt;&lt;author&gt;Gautier, Arthur&lt;/author&gt;&lt;author&gt;Pache, Anne-Claire&lt;/author&gt;&lt;/authors&gt;&lt;/contributors&gt;&lt;titles&gt;&lt;title&gt;Research on corporate philanthropy: A review and assessment&lt;/title&gt;&lt;secondary-title&gt;Journal of Business Ethics&lt;/secondary-title&gt;&lt;/titles&gt;&lt;periodical&gt;&lt;full-title&gt;Journal of Business Ethics&lt;/full-title&gt;&lt;/periodical&gt;&lt;pages&gt;1-27&lt;/pages&gt;&lt;dates&gt;&lt;year&gt;2013&lt;/year&gt;&lt;/dates&gt;&lt;isbn&gt;0167-4544&lt;/isbn&gt;&lt;urls&gt;&lt;/urls&gt;&lt;/record&gt;&lt;/Cite&gt;&lt;/EndNote&gt;</w:instrText>
      </w:r>
      <w:r w:rsidRPr="00B97BE2">
        <w:rPr>
          <w:rFonts w:ascii="Times New Roman" w:hAnsi="Times New Roman" w:cs="Times New Roman"/>
          <w:sz w:val="24"/>
          <w:szCs w:val="24"/>
        </w:rPr>
        <w:fldChar w:fldCharType="separate"/>
      </w:r>
      <w:r>
        <w:rPr>
          <w:rFonts w:ascii="Times New Roman" w:hAnsi="Times New Roman" w:cs="Times New Roman"/>
          <w:noProof/>
          <w:sz w:val="24"/>
          <w:szCs w:val="24"/>
        </w:rPr>
        <w:t>(for a review, see Gautier and Pache 2013)</w:t>
      </w:r>
      <w:r w:rsidRPr="00B97BE2">
        <w:rPr>
          <w:rFonts w:ascii="Times New Roman" w:hAnsi="Times New Roman" w:cs="Times New Roman"/>
          <w:sz w:val="24"/>
          <w:szCs w:val="24"/>
        </w:rPr>
        <w:fldChar w:fldCharType="end"/>
      </w:r>
      <w:r>
        <w:rPr>
          <w:rFonts w:ascii="Times New Roman" w:hAnsi="Times New Roman" w:cs="Times New Roman"/>
          <w:sz w:val="24"/>
          <w:szCs w:val="24"/>
        </w:rPr>
        <w:t>.</w:t>
      </w:r>
      <w:r w:rsidRPr="00B97BE2">
        <w:rPr>
          <w:rFonts w:ascii="Times New Roman" w:hAnsi="Times New Roman" w:cs="Times New Roman"/>
          <w:sz w:val="24"/>
          <w:szCs w:val="24"/>
        </w:rPr>
        <w:t xml:space="preserve"> </w:t>
      </w:r>
      <w:r>
        <w:rPr>
          <w:rFonts w:ascii="Times New Roman" w:hAnsi="Times New Roman" w:cs="Times New Roman"/>
          <w:sz w:val="24"/>
          <w:szCs w:val="24"/>
        </w:rPr>
        <w:t xml:space="preserve">However, much like studies on CSR </w:t>
      </w:r>
      <w:r w:rsidR="005C0D4D">
        <w:rPr>
          <w:rFonts w:ascii="Times New Roman" w:hAnsi="Times New Roman" w:cs="Times New Roman"/>
          <w:sz w:val="24"/>
          <w:szCs w:val="24"/>
        </w:rPr>
        <w:t xml:space="preserve">and sustainability </w:t>
      </w:r>
      <w:r>
        <w:rPr>
          <w:rFonts w:ascii="Times New Roman" w:hAnsi="Times New Roman" w:cs="Times New Roman"/>
          <w:sz w:val="24"/>
          <w:szCs w:val="24"/>
        </w:rPr>
        <w:t>more generally, e</w:t>
      </w:r>
      <w:r w:rsidRPr="00B97BE2">
        <w:rPr>
          <w:rFonts w:ascii="Times New Roman" w:hAnsi="Times New Roman" w:cs="Times New Roman"/>
          <w:sz w:val="24"/>
          <w:szCs w:val="24"/>
        </w:rPr>
        <w:t>xisting resea</w:t>
      </w:r>
      <w:r>
        <w:rPr>
          <w:rFonts w:ascii="Times New Roman" w:hAnsi="Times New Roman" w:cs="Times New Roman"/>
          <w:sz w:val="24"/>
          <w:szCs w:val="24"/>
        </w:rPr>
        <w:t xml:space="preserve">rch does not adequately explore </w:t>
      </w:r>
      <w:r>
        <w:rPr>
          <w:rFonts w:ascii="Times New Roman" w:hAnsi="Times New Roman" w:cs="Times New Roman"/>
          <w:i/>
          <w:sz w:val="24"/>
          <w:szCs w:val="24"/>
        </w:rPr>
        <w:t xml:space="preserve">how </w:t>
      </w:r>
      <w:r>
        <w:rPr>
          <w:rFonts w:ascii="Times New Roman" w:hAnsi="Times New Roman" w:cs="Times New Roman"/>
          <w:sz w:val="24"/>
          <w:szCs w:val="24"/>
        </w:rPr>
        <w:t>companies implement their philanthropy programs</w:t>
      </w:r>
      <w:r w:rsidRPr="00B97BE2">
        <w:rPr>
          <w:rFonts w:ascii="Times New Roman" w:hAnsi="Times New Roman" w:cs="Times New Roman"/>
          <w:sz w:val="24"/>
          <w:szCs w:val="24"/>
        </w:rPr>
        <w:t>.</w:t>
      </w:r>
      <w:r w:rsidRPr="00EA14B1">
        <w:rPr>
          <w:rFonts w:ascii="Times New Roman" w:hAnsi="Times New Roman" w:cs="Times New Roman"/>
          <w:sz w:val="24"/>
          <w:szCs w:val="24"/>
        </w:rPr>
        <w:t xml:space="preserve"> </w:t>
      </w:r>
      <w:r w:rsidRPr="00B97BE2">
        <w:rPr>
          <w:rFonts w:ascii="Times New Roman" w:hAnsi="Times New Roman" w:cs="Times New Roman"/>
          <w:sz w:val="24"/>
          <w:szCs w:val="24"/>
        </w:rPr>
        <w:t xml:space="preserve">Much of the gap can be attributed to methodology. The bulk of research on corporate philanthropy uses quantitative, pre-giving, post-giving comparisons of </w:t>
      </w:r>
      <w:r>
        <w:rPr>
          <w:rFonts w:ascii="Times New Roman" w:hAnsi="Times New Roman" w:cs="Times New Roman"/>
          <w:sz w:val="24"/>
          <w:szCs w:val="24"/>
        </w:rPr>
        <w:t>firm</w:t>
      </w:r>
      <w:r w:rsidRPr="00B97BE2">
        <w:rPr>
          <w:rFonts w:ascii="Times New Roman" w:hAnsi="Times New Roman" w:cs="Times New Roman"/>
          <w:sz w:val="24"/>
          <w:szCs w:val="24"/>
        </w:rPr>
        <w:t xml:space="preserve"> profit that are unable to explore how funding decisions </w:t>
      </w:r>
      <w:r>
        <w:rPr>
          <w:rFonts w:ascii="Times New Roman" w:hAnsi="Times New Roman" w:cs="Times New Roman"/>
          <w:sz w:val="24"/>
          <w:szCs w:val="24"/>
        </w:rPr>
        <w:t xml:space="preserve">are actually made. Ultimately, studies of this nature provide some understanding of different antecedents and outcomes of philanthropy, though little sense of how </w:t>
      </w:r>
      <w:r w:rsidR="005C0D4D">
        <w:rPr>
          <w:rFonts w:ascii="Times New Roman" w:hAnsi="Times New Roman" w:cs="Times New Roman"/>
          <w:sz w:val="24"/>
          <w:szCs w:val="24"/>
        </w:rPr>
        <w:t>the activity</w:t>
      </w:r>
      <w:r>
        <w:rPr>
          <w:rFonts w:ascii="Times New Roman" w:hAnsi="Times New Roman" w:cs="Times New Roman"/>
          <w:sz w:val="24"/>
          <w:szCs w:val="24"/>
        </w:rPr>
        <w:t xml:space="preserve"> is carried out. We do not yet understand, for example, how firms prioritize social problems or </w:t>
      </w:r>
      <w:r w:rsidRPr="00B97BE2">
        <w:rPr>
          <w:rFonts w:ascii="Times New Roman" w:hAnsi="Times New Roman" w:cs="Times New Roman"/>
          <w:sz w:val="24"/>
          <w:szCs w:val="24"/>
        </w:rPr>
        <w:t xml:space="preserve">choose one </w:t>
      </w:r>
      <w:r>
        <w:rPr>
          <w:rFonts w:ascii="Times New Roman" w:hAnsi="Times New Roman" w:cs="Times New Roman"/>
          <w:sz w:val="24"/>
          <w:szCs w:val="24"/>
        </w:rPr>
        <w:t xml:space="preserve">philanthropic </w:t>
      </w:r>
      <w:r w:rsidRPr="00B97BE2">
        <w:rPr>
          <w:rFonts w:ascii="Times New Roman" w:hAnsi="Times New Roman" w:cs="Times New Roman"/>
          <w:sz w:val="24"/>
          <w:szCs w:val="24"/>
        </w:rPr>
        <w:t>recipient over another</w:t>
      </w:r>
      <w:r>
        <w:rPr>
          <w:rFonts w:ascii="Times New Roman" w:hAnsi="Times New Roman" w:cs="Times New Roman"/>
          <w:sz w:val="24"/>
          <w:szCs w:val="24"/>
        </w:rPr>
        <w:t xml:space="preserve">, nor who is involved in these decisions. </w:t>
      </w:r>
    </w:p>
    <w:p w:rsidR="00E330B0" w:rsidRDefault="00E330B0" w:rsidP="005C0D4D">
      <w:pPr>
        <w:pStyle w:val="NoSpacing"/>
        <w:rPr>
          <w:rFonts w:ascii="Times New Roman" w:hAnsi="Times New Roman" w:cs="Times New Roman"/>
          <w:sz w:val="24"/>
          <w:szCs w:val="24"/>
        </w:rPr>
      </w:pPr>
    </w:p>
    <w:p w:rsidR="00B11DF4" w:rsidRDefault="005A619D" w:rsidP="00E330B0">
      <w:pPr>
        <w:pStyle w:val="NoSpacing"/>
        <w:rPr>
          <w:rFonts w:ascii="Times New Roman" w:hAnsi="Times New Roman" w:cs="Times New Roman"/>
          <w:sz w:val="24"/>
        </w:rPr>
      </w:pPr>
      <w:r>
        <w:rPr>
          <w:rFonts w:ascii="Times New Roman" w:hAnsi="Times New Roman" w:cs="Times New Roman"/>
          <w:sz w:val="24"/>
          <w:szCs w:val="24"/>
        </w:rPr>
        <w:t xml:space="preserve">This article seeks to deepen our understanding of the processes by which companies implement corporate philanthropy, along the way revealing insights about how companies conceptualize and structure their relationships with communities and larger society. </w:t>
      </w:r>
      <w:r w:rsidR="00B11DF4">
        <w:rPr>
          <w:rFonts w:ascii="Times New Roman" w:hAnsi="Times New Roman" w:cs="Times New Roman"/>
          <w:sz w:val="24"/>
          <w:szCs w:val="24"/>
        </w:rPr>
        <w:t xml:space="preserve">The paper uses a </w:t>
      </w:r>
      <w:r>
        <w:rPr>
          <w:rFonts w:ascii="Times New Roman" w:hAnsi="Times New Roman" w:cs="Times New Roman"/>
          <w:sz w:val="24"/>
          <w:szCs w:val="24"/>
        </w:rPr>
        <w:t xml:space="preserve">qualitative analysis of how corporate grantmakers – </w:t>
      </w:r>
      <w:r>
        <w:rPr>
          <w:rFonts w:ascii="Times New Roman" w:hAnsi="Times New Roman" w:cs="Times New Roman"/>
          <w:sz w:val="24"/>
        </w:rPr>
        <w:t xml:space="preserve">the professionals companies employ to oversee philanthropy programs – </w:t>
      </w:r>
      <w:r w:rsidR="005C0D4D">
        <w:rPr>
          <w:rFonts w:ascii="Times New Roman" w:hAnsi="Times New Roman" w:cs="Times New Roman"/>
          <w:sz w:val="24"/>
        </w:rPr>
        <w:t xml:space="preserve">navigate competing demands of </w:t>
      </w:r>
      <w:r w:rsidR="005A537F">
        <w:rPr>
          <w:rFonts w:ascii="Times New Roman" w:hAnsi="Times New Roman" w:cs="Times New Roman"/>
          <w:sz w:val="24"/>
        </w:rPr>
        <w:t>generating both business and social value.</w:t>
      </w:r>
      <w:r w:rsidR="00B11DF4">
        <w:rPr>
          <w:rFonts w:ascii="Times New Roman" w:hAnsi="Times New Roman" w:cs="Times New Roman"/>
          <w:sz w:val="24"/>
        </w:rPr>
        <w:t xml:space="preserve"> T</w:t>
      </w:r>
      <w:r w:rsidR="00F62062">
        <w:rPr>
          <w:rFonts w:ascii="Times New Roman" w:hAnsi="Times New Roman" w:cs="Times New Roman"/>
          <w:sz w:val="24"/>
        </w:rPr>
        <w:t xml:space="preserve">he insights about how a growing professional field manages and relies on ambiguity extend </w:t>
      </w:r>
      <w:r w:rsidR="00F85B1F">
        <w:rPr>
          <w:rFonts w:ascii="Times New Roman" w:hAnsi="Times New Roman" w:cs="Times New Roman"/>
          <w:sz w:val="24"/>
        </w:rPr>
        <w:t xml:space="preserve">to </w:t>
      </w:r>
      <w:r w:rsidR="00B11DF4">
        <w:rPr>
          <w:rFonts w:ascii="Times New Roman" w:hAnsi="Times New Roman" w:cs="Times New Roman"/>
          <w:sz w:val="24"/>
        </w:rPr>
        <w:t>more general activities of the</w:t>
      </w:r>
      <w:r w:rsidR="00F62062">
        <w:rPr>
          <w:rFonts w:ascii="Times New Roman" w:hAnsi="Times New Roman" w:cs="Times New Roman"/>
          <w:sz w:val="24"/>
        </w:rPr>
        <w:t xml:space="preserve"> </w:t>
      </w:r>
      <w:r w:rsidR="00E330B0">
        <w:rPr>
          <w:rFonts w:ascii="Times New Roman" w:hAnsi="Times New Roman" w:cs="Times New Roman"/>
          <w:sz w:val="24"/>
        </w:rPr>
        <w:t>CSR and sustainability</w:t>
      </w:r>
      <w:r w:rsidR="00F85B1F">
        <w:rPr>
          <w:rFonts w:ascii="Times New Roman" w:hAnsi="Times New Roman" w:cs="Times New Roman"/>
          <w:sz w:val="24"/>
        </w:rPr>
        <w:t xml:space="preserve"> professionals</w:t>
      </w:r>
      <w:bookmarkStart w:id="0" w:name="_GoBack"/>
      <w:bookmarkEnd w:id="0"/>
      <w:r w:rsidR="00E330B0">
        <w:rPr>
          <w:rFonts w:ascii="Times New Roman" w:hAnsi="Times New Roman" w:cs="Times New Roman"/>
          <w:sz w:val="24"/>
        </w:rPr>
        <w:t xml:space="preserve"> within companies</w:t>
      </w:r>
      <w:r w:rsidR="00B11DF4">
        <w:rPr>
          <w:rFonts w:ascii="Times New Roman" w:hAnsi="Times New Roman" w:cs="Times New Roman"/>
          <w:sz w:val="24"/>
        </w:rPr>
        <w:t>.</w:t>
      </w:r>
      <w:r w:rsidR="00E330B0">
        <w:rPr>
          <w:rFonts w:ascii="Times New Roman" w:hAnsi="Times New Roman" w:cs="Times New Roman"/>
          <w:sz w:val="24"/>
        </w:rPr>
        <w:t xml:space="preserve"> </w:t>
      </w:r>
    </w:p>
    <w:p w:rsidR="00B11DF4" w:rsidRDefault="00B11DF4" w:rsidP="00E330B0">
      <w:pPr>
        <w:pStyle w:val="NoSpacing"/>
        <w:rPr>
          <w:rFonts w:ascii="Times New Roman" w:hAnsi="Times New Roman" w:cs="Times New Roman"/>
          <w:sz w:val="24"/>
        </w:rPr>
      </w:pPr>
    </w:p>
    <w:p w:rsidR="00250A29" w:rsidRDefault="00B11DF4" w:rsidP="00B11DF4">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E330B0">
        <w:rPr>
          <w:rFonts w:ascii="Times New Roman" w:hAnsi="Times New Roman" w:cs="Times New Roman"/>
          <w:sz w:val="24"/>
          <w:szCs w:val="24"/>
        </w:rPr>
        <w:t xml:space="preserve">argument extends how we think about professionalization of the nonprofit sector. Existing scholarship suggests that </w:t>
      </w:r>
      <w:r w:rsidR="000E3E62">
        <w:rPr>
          <w:rFonts w:ascii="Times New Roman" w:hAnsi="Times New Roman" w:cs="Times New Roman"/>
          <w:sz w:val="24"/>
          <w:szCs w:val="24"/>
        </w:rPr>
        <w:t>donors</w:t>
      </w:r>
      <w:r w:rsidR="00E330B0">
        <w:rPr>
          <w:rFonts w:ascii="Times New Roman" w:hAnsi="Times New Roman" w:cs="Times New Roman"/>
          <w:sz w:val="24"/>
          <w:szCs w:val="24"/>
        </w:rPr>
        <w:t xml:space="preserve"> influence nonprofits toward professionalization not necessarily as a result of the money they donate, but because that money comes alongside orders for more market-based practices like strategic plans, consulting, and management training </w:t>
      </w:r>
      <w:r w:rsidR="00E330B0">
        <w:rPr>
          <w:rFonts w:ascii="Times New Roman" w:hAnsi="Times New Roman" w:cs="Times New Roman"/>
          <w:sz w:val="24"/>
          <w:szCs w:val="24"/>
        </w:rPr>
        <w:fldChar w:fldCharType="begin"/>
      </w:r>
      <w:r w:rsidR="00E330B0">
        <w:rPr>
          <w:rFonts w:ascii="Times New Roman" w:hAnsi="Times New Roman" w:cs="Times New Roman"/>
          <w:sz w:val="24"/>
          <w:szCs w:val="24"/>
        </w:rPr>
        <w:instrText xml:space="preserve"> ADDIN EN.CITE &lt;EndNote&gt;&lt;Cite&gt;&lt;Author&gt;Hwang&lt;/Author&gt;&lt;Year&gt;2009&lt;/Year&gt;&lt;RecNum&gt;328&lt;/RecNum&gt;&lt;DisplayText&gt;(Hwang and Powell 2009)&lt;/DisplayText&gt;&lt;record&gt;&lt;rec-number&gt;328&lt;/rec-number&gt;&lt;foreign-keys&gt;&lt;key app="EN" db-id="5aadrz0sn52ewfexr2kxs9tlatdfef5zefw9" timestamp="1420663117"&gt;328&lt;/key&gt;&lt;/foreign-keys&gt;&lt;ref-type name="Journal Article"&gt;17&lt;/ref-type&gt;&lt;contributors&gt;&lt;authors&gt;&lt;author&gt;Hwang, Hokyu&lt;/author&gt;&lt;author&gt;Powell, Walter W&lt;/author&gt;&lt;/authors&gt;&lt;/contributors&gt;&lt;titles&gt;&lt;title&gt;The rationalization of charity: The influences of professionalism in the nonprofit sector&lt;/title&gt;&lt;secondary-title&gt;Administrative Science Quarterly&lt;/secondary-title&gt;&lt;/titles&gt;&lt;periodical&gt;&lt;full-title&gt;Administrative Science Quarterly&lt;/full-title&gt;&lt;abbr-1&gt;Adm. Sci. Q.&lt;/abbr-1&gt;&lt;/periodical&gt;&lt;pages&gt;268-298&lt;/pages&gt;&lt;volume&gt;54&lt;/volume&gt;&lt;number&gt;2&lt;/number&gt;&lt;dates&gt;&lt;year&gt;2009&lt;/year&gt;&lt;/dates&gt;&lt;isbn&gt;0001-8392&lt;/isbn&gt;&lt;urls&gt;&lt;/urls&gt;&lt;/record&gt;&lt;/Cite&gt;&lt;/EndNote&gt;</w:instrText>
      </w:r>
      <w:r w:rsidR="00E330B0">
        <w:rPr>
          <w:rFonts w:ascii="Times New Roman" w:hAnsi="Times New Roman" w:cs="Times New Roman"/>
          <w:sz w:val="24"/>
          <w:szCs w:val="24"/>
        </w:rPr>
        <w:fldChar w:fldCharType="separate"/>
      </w:r>
      <w:r w:rsidR="00E330B0">
        <w:rPr>
          <w:rFonts w:ascii="Times New Roman" w:hAnsi="Times New Roman" w:cs="Times New Roman"/>
          <w:noProof/>
          <w:sz w:val="24"/>
          <w:szCs w:val="24"/>
        </w:rPr>
        <w:t>(Hwang and Powell 2009)</w:t>
      </w:r>
      <w:r w:rsidR="00E330B0">
        <w:rPr>
          <w:rFonts w:ascii="Times New Roman" w:hAnsi="Times New Roman" w:cs="Times New Roman"/>
          <w:sz w:val="24"/>
          <w:szCs w:val="24"/>
        </w:rPr>
        <w:fldChar w:fldCharType="end"/>
      </w:r>
      <w:r w:rsidR="00E330B0">
        <w:rPr>
          <w:rFonts w:ascii="Times New Roman" w:hAnsi="Times New Roman" w:cs="Times New Roman"/>
          <w:sz w:val="24"/>
          <w:szCs w:val="24"/>
        </w:rPr>
        <w:t xml:space="preserve">. </w:t>
      </w:r>
      <w:r>
        <w:rPr>
          <w:rFonts w:ascii="Times New Roman" w:hAnsi="Times New Roman" w:cs="Times New Roman"/>
          <w:sz w:val="24"/>
          <w:szCs w:val="24"/>
        </w:rPr>
        <w:t>The</w:t>
      </w:r>
      <w:r w:rsidR="00E330B0">
        <w:rPr>
          <w:rFonts w:ascii="Times New Roman" w:hAnsi="Times New Roman" w:cs="Times New Roman"/>
          <w:sz w:val="24"/>
          <w:szCs w:val="24"/>
        </w:rPr>
        <w:t xml:space="preserve"> findings </w:t>
      </w:r>
      <w:r w:rsidR="000E3E62">
        <w:rPr>
          <w:rFonts w:ascii="Times New Roman" w:hAnsi="Times New Roman" w:cs="Times New Roman"/>
          <w:sz w:val="24"/>
          <w:szCs w:val="24"/>
        </w:rPr>
        <w:t xml:space="preserve">presented in this paper </w:t>
      </w:r>
      <w:r w:rsidR="00E330B0">
        <w:rPr>
          <w:rFonts w:ascii="Times New Roman" w:hAnsi="Times New Roman" w:cs="Times New Roman"/>
          <w:sz w:val="24"/>
          <w:szCs w:val="24"/>
        </w:rPr>
        <w:t>depict a m</w:t>
      </w:r>
      <w:r w:rsidR="000E3E62">
        <w:rPr>
          <w:rFonts w:ascii="Times New Roman" w:hAnsi="Times New Roman" w:cs="Times New Roman"/>
          <w:sz w:val="24"/>
          <w:szCs w:val="24"/>
        </w:rPr>
        <w:t xml:space="preserve">ore nuanced picture. The story </w:t>
      </w:r>
      <w:r w:rsidR="00E330B0">
        <w:rPr>
          <w:rFonts w:ascii="Times New Roman" w:hAnsi="Times New Roman" w:cs="Times New Roman"/>
          <w:sz w:val="24"/>
          <w:szCs w:val="24"/>
        </w:rPr>
        <w:t>present</w:t>
      </w:r>
      <w:r w:rsidR="000E3E62">
        <w:rPr>
          <w:rFonts w:ascii="Times New Roman" w:hAnsi="Times New Roman" w:cs="Times New Roman"/>
          <w:sz w:val="24"/>
          <w:szCs w:val="24"/>
        </w:rPr>
        <w:t>ed</w:t>
      </w:r>
      <w:r w:rsidR="00E330B0">
        <w:rPr>
          <w:rFonts w:ascii="Times New Roman" w:hAnsi="Times New Roman" w:cs="Times New Roman"/>
          <w:sz w:val="24"/>
          <w:szCs w:val="24"/>
        </w:rPr>
        <w:t xml:space="preserve"> is neither one of companies coopting n</w:t>
      </w:r>
      <w:r w:rsidR="000E3E62">
        <w:rPr>
          <w:rFonts w:ascii="Times New Roman" w:hAnsi="Times New Roman" w:cs="Times New Roman"/>
          <w:sz w:val="24"/>
          <w:szCs w:val="24"/>
        </w:rPr>
        <w:t>onprofit missions nor companies mandating metrics</w:t>
      </w:r>
      <w:r w:rsidR="00E330B0">
        <w:rPr>
          <w:rFonts w:ascii="Times New Roman" w:hAnsi="Times New Roman" w:cs="Times New Roman"/>
          <w:sz w:val="24"/>
          <w:szCs w:val="24"/>
        </w:rPr>
        <w:t>.</w:t>
      </w:r>
      <w:r w:rsidR="000E3E62">
        <w:rPr>
          <w:rFonts w:ascii="Times New Roman" w:hAnsi="Times New Roman" w:cs="Times New Roman"/>
          <w:sz w:val="24"/>
          <w:szCs w:val="24"/>
        </w:rPr>
        <w:t xml:space="preserve"> The theoretical conclusions help explain why ambiguous goals and metrics persist.</w:t>
      </w:r>
    </w:p>
    <w:p w:rsidR="00F939CD" w:rsidRPr="00734DB5" w:rsidRDefault="005A619D" w:rsidP="005C0D4D">
      <w:pPr>
        <w:pStyle w:val="NoSpacing"/>
        <w:rPr>
          <w:rFonts w:ascii="Times New Roman" w:hAnsi="Times New Roman" w:cs="Times New Roman"/>
          <w:b/>
          <w:sz w:val="24"/>
          <w:szCs w:val="24"/>
        </w:rPr>
      </w:pPr>
      <w:r>
        <w:rPr>
          <w:rFonts w:ascii="Times New Roman" w:hAnsi="Times New Roman" w:cs="Times New Roman"/>
          <w:b/>
          <w:sz w:val="24"/>
          <w:szCs w:val="24"/>
        </w:rPr>
        <w:lastRenderedPageBreak/>
        <w:t>ABSTRACT</w:t>
      </w:r>
    </w:p>
    <w:p w:rsidR="00734DB5" w:rsidRPr="00734DB5" w:rsidRDefault="00780324" w:rsidP="00780324">
      <w:pPr>
        <w:pStyle w:val="NoSpacing"/>
        <w:rPr>
          <w:rFonts w:ascii="Times New Roman" w:hAnsi="Times New Roman" w:cs="Times New Roman"/>
          <w:sz w:val="24"/>
          <w:szCs w:val="24"/>
        </w:rPr>
      </w:pPr>
      <w:r w:rsidRPr="001D43DD">
        <w:rPr>
          <w:rFonts w:ascii="Times New Roman" w:hAnsi="Times New Roman" w:cs="Times New Roman"/>
          <w:sz w:val="24"/>
          <w:szCs w:val="24"/>
        </w:rPr>
        <w:t xml:space="preserve">Existing literature suggests that organizations reduce institutional complexity by ridding themselves of competing demands or by creating new hybrid identities that integrate competing elements. However, some organizations reside in environments of enduring institutional complexity where competing elements cannot be dismissed or perfectly integrated. I use corporate philanthropy as a case study of enduring institutional complexity, as corporate grantmakers who oversee corporate donations must navigate both the business and nonprofit fields. They cannot reduce complexity by eliminating competing elements, nor can they perfectly integrate elements. Drawing from 40 interviews with corporate grantmakers as well as participant observation of corporate foundations, I argue that the successful navigation of enduring institutional complexity can be achieved through </w:t>
      </w:r>
      <w:r w:rsidRPr="001D43DD">
        <w:rPr>
          <w:rFonts w:ascii="Times New Roman" w:hAnsi="Times New Roman" w:cs="Times New Roman"/>
          <w:i/>
          <w:sz w:val="24"/>
          <w:szCs w:val="24"/>
        </w:rPr>
        <w:t>pragmatic ambiguity</w:t>
      </w:r>
      <w:r w:rsidRPr="001D43DD">
        <w:rPr>
          <w:rFonts w:ascii="Times New Roman" w:hAnsi="Times New Roman" w:cs="Times New Roman"/>
          <w:sz w:val="24"/>
          <w:szCs w:val="24"/>
        </w:rPr>
        <w:t>. Infusing ambiguity into the process of corporate philanthropy – including via ambiguous goals, ambiguous definitions of success, and imprecise outcome metrics – fosters multiple interpretations and strengthens the ability to appease various audiences. I outline two mechanisms by which ambiguity assists organizational actors in complex situations:</w:t>
      </w:r>
      <w:r w:rsidRPr="001D43DD">
        <w:rPr>
          <w:rFonts w:ascii="Times New Roman" w:hAnsi="Times New Roman" w:cs="Times New Roman"/>
          <w:i/>
          <w:sz w:val="24"/>
          <w:szCs w:val="24"/>
        </w:rPr>
        <w:t xml:space="preserve"> multivocality </w:t>
      </w:r>
      <w:r w:rsidRPr="001D43DD">
        <w:rPr>
          <w:rFonts w:ascii="Times New Roman" w:hAnsi="Times New Roman" w:cs="Times New Roman"/>
          <w:sz w:val="24"/>
          <w:szCs w:val="24"/>
        </w:rPr>
        <w:t xml:space="preserve">and </w:t>
      </w:r>
      <w:r w:rsidRPr="001D43DD">
        <w:rPr>
          <w:rFonts w:ascii="Times New Roman" w:hAnsi="Times New Roman" w:cs="Times New Roman"/>
          <w:i/>
          <w:sz w:val="24"/>
          <w:szCs w:val="24"/>
        </w:rPr>
        <w:t>myth-making.</w:t>
      </w:r>
      <w:r w:rsidRPr="001D43DD">
        <w:rPr>
          <w:rFonts w:ascii="Times New Roman" w:hAnsi="Times New Roman" w:cs="Times New Roman"/>
          <w:sz w:val="24"/>
          <w:szCs w:val="24"/>
        </w:rPr>
        <w:t xml:space="preserve"> Ambiguity allows actors to project fit with multiple audiences and address competing dimensions without engaging in costly negotiations</w:t>
      </w:r>
      <w:r>
        <w:rPr>
          <w:rFonts w:ascii="Times New Roman" w:hAnsi="Times New Roman" w:cs="Times New Roman"/>
          <w:sz w:val="24"/>
          <w:szCs w:val="24"/>
        </w:rPr>
        <w:t xml:space="preserve"> (multivocality)</w:t>
      </w:r>
      <w:r w:rsidRPr="001D43DD">
        <w:rPr>
          <w:rFonts w:ascii="Times New Roman" w:hAnsi="Times New Roman" w:cs="Times New Roman"/>
          <w:sz w:val="24"/>
          <w:szCs w:val="24"/>
        </w:rPr>
        <w:t>. Moreover, ambiguity provides the space to for organizational actors to construct coherent identities from incommensurable demands</w:t>
      </w:r>
      <w:r>
        <w:rPr>
          <w:rFonts w:ascii="Times New Roman" w:hAnsi="Times New Roman" w:cs="Times New Roman"/>
          <w:sz w:val="24"/>
          <w:szCs w:val="24"/>
        </w:rPr>
        <w:t xml:space="preserve"> (myth-making)</w:t>
      </w:r>
      <w:r w:rsidRPr="001D43DD">
        <w:rPr>
          <w:rFonts w:ascii="Times New Roman" w:hAnsi="Times New Roman" w:cs="Times New Roman"/>
          <w:sz w:val="24"/>
          <w:szCs w:val="24"/>
        </w:rPr>
        <w:t xml:space="preserve">. I argue that ambiguity is most successful as a response to enduring complexity when complete </w:t>
      </w:r>
      <w:proofErr w:type="spellStart"/>
      <w:r w:rsidRPr="001D43DD">
        <w:rPr>
          <w:rFonts w:ascii="Times New Roman" w:hAnsi="Times New Roman" w:cs="Times New Roman"/>
          <w:sz w:val="24"/>
          <w:szCs w:val="24"/>
        </w:rPr>
        <w:t>hybdrization</w:t>
      </w:r>
      <w:proofErr w:type="spellEnd"/>
      <w:r w:rsidRPr="001D43DD">
        <w:rPr>
          <w:rFonts w:ascii="Times New Roman" w:hAnsi="Times New Roman" w:cs="Times New Roman"/>
          <w:sz w:val="24"/>
          <w:szCs w:val="24"/>
        </w:rPr>
        <w:t xml:space="preserve"> of competing elements is not the primary goal. In the case of corporate philanthropy, ambiguity leads corporate grantmakers to rely heavily on other signals of legitimacy as they make funding decisions, namely nonprofit r</w:t>
      </w:r>
      <w:r>
        <w:rPr>
          <w:rFonts w:ascii="Times New Roman" w:hAnsi="Times New Roman" w:cs="Times New Roman"/>
          <w:sz w:val="24"/>
          <w:szCs w:val="24"/>
        </w:rPr>
        <w:t xml:space="preserve">eputation and corporate norms. </w:t>
      </w:r>
    </w:p>
    <w:p w:rsidR="00780324" w:rsidRDefault="00780324" w:rsidP="005C0D4D">
      <w:pPr>
        <w:pStyle w:val="NoSpacing"/>
        <w:rPr>
          <w:rFonts w:ascii="Times New Roman" w:hAnsi="Times New Roman" w:cs="Times New Roman"/>
          <w:b/>
          <w:sz w:val="24"/>
          <w:szCs w:val="24"/>
        </w:rPr>
      </w:pPr>
    </w:p>
    <w:p w:rsidR="00734DB5" w:rsidRPr="005C0D4D" w:rsidRDefault="00734DB5" w:rsidP="005C0D4D">
      <w:pPr>
        <w:pStyle w:val="NoSpacing"/>
        <w:rPr>
          <w:rFonts w:ascii="Times New Roman" w:hAnsi="Times New Roman" w:cs="Times New Roman"/>
          <w:b/>
          <w:sz w:val="24"/>
          <w:szCs w:val="24"/>
        </w:rPr>
      </w:pPr>
      <w:r w:rsidRPr="005C0D4D">
        <w:rPr>
          <w:rFonts w:ascii="Times New Roman" w:hAnsi="Times New Roman" w:cs="Times New Roman"/>
          <w:b/>
          <w:sz w:val="24"/>
          <w:szCs w:val="24"/>
        </w:rPr>
        <w:t>PAPER OUTLINE</w:t>
      </w:r>
    </w:p>
    <w:p w:rsidR="00734DB5" w:rsidRPr="00734DB5" w:rsidRDefault="00734DB5" w:rsidP="00734DB5">
      <w:pPr>
        <w:pStyle w:val="NoSpacing"/>
        <w:numPr>
          <w:ilvl w:val="0"/>
          <w:numId w:val="1"/>
        </w:numPr>
        <w:rPr>
          <w:rFonts w:ascii="Times New Roman" w:hAnsi="Times New Roman" w:cs="Times New Roman"/>
          <w:sz w:val="24"/>
          <w:szCs w:val="24"/>
        </w:rPr>
      </w:pPr>
      <w:r w:rsidRPr="00734DB5">
        <w:rPr>
          <w:rFonts w:ascii="Times New Roman" w:hAnsi="Times New Roman" w:cs="Times New Roman"/>
          <w:sz w:val="24"/>
          <w:szCs w:val="24"/>
        </w:rPr>
        <w:t>INTRODUCTION</w:t>
      </w:r>
    </w:p>
    <w:p w:rsidR="00734DB5" w:rsidRPr="00734DB5" w:rsidRDefault="00734DB5" w:rsidP="00734DB5">
      <w:pPr>
        <w:pStyle w:val="NoSpacing"/>
        <w:numPr>
          <w:ilvl w:val="0"/>
          <w:numId w:val="1"/>
        </w:numPr>
        <w:rPr>
          <w:rFonts w:ascii="Times New Roman" w:hAnsi="Times New Roman" w:cs="Times New Roman"/>
          <w:sz w:val="24"/>
          <w:szCs w:val="24"/>
        </w:rPr>
      </w:pPr>
      <w:r w:rsidRPr="00734DB5">
        <w:rPr>
          <w:rFonts w:ascii="Times New Roman" w:hAnsi="Times New Roman" w:cs="Times New Roman"/>
          <w:sz w:val="24"/>
          <w:szCs w:val="24"/>
        </w:rPr>
        <w:t xml:space="preserve">RESPONSES TO INSTITUTIONAL COMPLEXITY </w:t>
      </w:r>
    </w:p>
    <w:p w:rsidR="00734DB5" w:rsidRPr="00734DB5" w:rsidRDefault="00734DB5" w:rsidP="00734DB5">
      <w:pPr>
        <w:pStyle w:val="NoSpacing"/>
        <w:numPr>
          <w:ilvl w:val="1"/>
          <w:numId w:val="1"/>
        </w:numPr>
        <w:rPr>
          <w:rFonts w:ascii="Times New Roman" w:hAnsi="Times New Roman" w:cs="Times New Roman"/>
          <w:sz w:val="24"/>
          <w:szCs w:val="24"/>
        </w:rPr>
      </w:pPr>
      <w:r w:rsidRPr="00734DB5">
        <w:rPr>
          <w:rFonts w:ascii="Times New Roman" w:hAnsi="Times New Roman" w:cs="Times New Roman"/>
          <w:sz w:val="24"/>
          <w:szCs w:val="24"/>
        </w:rPr>
        <w:t xml:space="preserve">Dismissal of One or More Competing Elements </w:t>
      </w:r>
    </w:p>
    <w:p w:rsidR="00734DB5" w:rsidRPr="00734DB5" w:rsidRDefault="00734DB5" w:rsidP="00734DB5">
      <w:pPr>
        <w:pStyle w:val="NoSpacing"/>
        <w:numPr>
          <w:ilvl w:val="1"/>
          <w:numId w:val="1"/>
        </w:numPr>
        <w:rPr>
          <w:rFonts w:ascii="Times New Roman" w:hAnsi="Times New Roman" w:cs="Times New Roman"/>
          <w:sz w:val="24"/>
          <w:szCs w:val="24"/>
        </w:rPr>
      </w:pPr>
      <w:r w:rsidRPr="00734DB5">
        <w:rPr>
          <w:rFonts w:ascii="Times New Roman" w:hAnsi="Times New Roman" w:cs="Times New Roman"/>
          <w:sz w:val="24"/>
          <w:szCs w:val="24"/>
        </w:rPr>
        <w:t xml:space="preserve">Integration of One or More Competing Elements </w:t>
      </w:r>
    </w:p>
    <w:p w:rsidR="00734DB5" w:rsidRPr="00734DB5" w:rsidRDefault="00734DB5" w:rsidP="00734DB5">
      <w:pPr>
        <w:pStyle w:val="NoSpacing"/>
        <w:numPr>
          <w:ilvl w:val="1"/>
          <w:numId w:val="1"/>
        </w:numPr>
        <w:rPr>
          <w:rFonts w:ascii="Times New Roman" w:hAnsi="Times New Roman" w:cs="Times New Roman"/>
          <w:sz w:val="24"/>
          <w:szCs w:val="24"/>
        </w:rPr>
      </w:pPr>
      <w:r w:rsidRPr="00734DB5">
        <w:rPr>
          <w:rFonts w:ascii="Times New Roman" w:hAnsi="Times New Roman" w:cs="Times New Roman"/>
          <w:sz w:val="24"/>
          <w:szCs w:val="24"/>
        </w:rPr>
        <w:t>Strategies for Enduring Conflicts/Maintaining Institutional Complexity</w:t>
      </w:r>
    </w:p>
    <w:p w:rsidR="00734DB5" w:rsidRPr="00734DB5" w:rsidRDefault="00734DB5" w:rsidP="00734DB5">
      <w:pPr>
        <w:pStyle w:val="NoSpacing"/>
        <w:numPr>
          <w:ilvl w:val="0"/>
          <w:numId w:val="1"/>
        </w:numPr>
        <w:rPr>
          <w:rFonts w:ascii="Times New Roman" w:hAnsi="Times New Roman" w:cs="Times New Roman"/>
          <w:sz w:val="24"/>
          <w:szCs w:val="24"/>
        </w:rPr>
      </w:pPr>
      <w:r w:rsidRPr="00734DB5">
        <w:rPr>
          <w:rFonts w:ascii="Times New Roman" w:hAnsi="Times New Roman" w:cs="Times New Roman"/>
          <w:sz w:val="24"/>
          <w:szCs w:val="24"/>
        </w:rPr>
        <w:t>PRAGMATIC AMBIGUITY AS A COMPLEXITY MAINTENANCE STRATEGY</w:t>
      </w:r>
    </w:p>
    <w:p w:rsidR="00734DB5" w:rsidRPr="00734DB5" w:rsidRDefault="00734DB5" w:rsidP="00734DB5">
      <w:pPr>
        <w:pStyle w:val="NoSpacing"/>
        <w:numPr>
          <w:ilvl w:val="0"/>
          <w:numId w:val="1"/>
        </w:numPr>
        <w:rPr>
          <w:rFonts w:ascii="Times New Roman" w:hAnsi="Times New Roman" w:cs="Times New Roman"/>
          <w:sz w:val="24"/>
          <w:szCs w:val="24"/>
        </w:rPr>
      </w:pPr>
      <w:r w:rsidRPr="00734DB5">
        <w:rPr>
          <w:rFonts w:ascii="Times New Roman" w:hAnsi="Times New Roman" w:cs="Times New Roman"/>
          <w:sz w:val="24"/>
          <w:szCs w:val="24"/>
        </w:rPr>
        <w:t>METHODS</w:t>
      </w:r>
    </w:p>
    <w:p w:rsidR="00734DB5" w:rsidRPr="00734DB5" w:rsidRDefault="00734DB5" w:rsidP="00734DB5">
      <w:pPr>
        <w:pStyle w:val="NoSpacing"/>
        <w:numPr>
          <w:ilvl w:val="1"/>
          <w:numId w:val="1"/>
        </w:numPr>
        <w:rPr>
          <w:rFonts w:ascii="Times New Roman" w:hAnsi="Times New Roman" w:cs="Times New Roman"/>
          <w:sz w:val="24"/>
          <w:szCs w:val="24"/>
        </w:rPr>
      </w:pPr>
      <w:r w:rsidRPr="00734DB5">
        <w:rPr>
          <w:rFonts w:ascii="Times New Roman" w:hAnsi="Times New Roman" w:cs="Times New Roman"/>
          <w:sz w:val="24"/>
          <w:szCs w:val="24"/>
        </w:rPr>
        <w:t>Case Selection</w:t>
      </w:r>
    </w:p>
    <w:p w:rsidR="00734DB5" w:rsidRPr="00734DB5" w:rsidRDefault="00734DB5" w:rsidP="00734DB5">
      <w:pPr>
        <w:pStyle w:val="NoSpacing"/>
        <w:numPr>
          <w:ilvl w:val="1"/>
          <w:numId w:val="1"/>
        </w:numPr>
        <w:rPr>
          <w:rFonts w:ascii="Times New Roman" w:hAnsi="Times New Roman" w:cs="Times New Roman"/>
          <w:sz w:val="24"/>
          <w:szCs w:val="24"/>
        </w:rPr>
      </w:pPr>
      <w:r w:rsidRPr="00734DB5">
        <w:rPr>
          <w:rFonts w:ascii="Times New Roman" w:hAnsi="Times New Roman" w:cs="Times New Roman"/>
          <w:sz w:val="24"/>
          <w:szCs w:val="24"/>
        </w:rPr>
        <w:t>Sample</w:t>
      </w:r>
    </w:p>
    <w:p w:rsidR="00734DB5" w:rsidRPr="00734DB5" w:rsidRDefault="00734DB5" w:rsidP="00734DB5">
      <w:pPr>
        <w:pStyle w:val="NoSpacing"/>
        <w:numPr>
          <w:ilvl w:val="1"/>
          <w:numId w:val="1"/>
        </w:numPr>
        <w:rPr>
          <w:rFonts w:ascii="Times New Roman" w:hAnsi="Times New Roman" w:cs="Times New Roman"/>
          <w:sz w:val="24"/>
          <w:szCs w:val="24"/>
        </w:rPr>
      </w:pPr>
      <w:r w:rsidRPr="00734DB5">
        <w:rPr>
          <w:rFonts w:ascii="Times New Roman" w:hAnsi="Times New Roman" w:cs="Times New Roman"/>
          <w:sz w:val="24"/>
          <w:szCs w:val="24"/>
        </w:rPr>
        <w:t>In-depth Interviews</w:t>
      </w:r>
    </w:p>
    <w:p w:rsidR="00734DB5" w:rsidRPr="00734DB5" w:rsidRDefault="00734DB5" w:rsidP="00734DB5">
      <w:pPr>
        <w:pStyle w:val="NoSpacing"/>
        <w:numPr>
          <w:ilvl w:val="1"/>
          <w:numId w:val="1"/>
        </w:numPr>
        <w:rPr>
          <w:rFonts w:ascii="Times New Roman" w:hAnsi="Times New Roman" w:cs="Times New Roman"/>
          <w:sz w:val="24"/>
          <w:szCs w:val="24"/>
        </w:rPr>
      </w:pPr>
      <w:r w:rsidRPr="00734DB5">
        <w:rPr>
          <w:rFonts w:ascii="Times New Roman" w:hAnsi="Times New Roman" w:cs="Times New Roman"/>
          <w:sz w:val="24"/>
          <w:szCs w:val="24"/>
        </w:rPr>
        <w:t>Fieldwork Observation</w:t>
      </w:r>
    </w:p>
    <w:p w:rsidR="00734DB5" w:rsidRPr="00734DB5" w:rsidRDefault="00734DB5" w:rsidP="00734DB5">
      <w:pPr>
        <w:pStyle w:val="NoSpacing"/>
        <w:numPr>
          <w:ilvl w:val="1"/>
          <w:numId w:val="1"/>
        </w:numPr>
        <w:rPr>
          <w:rFonts w:ascii="Times New Roman" w:hAnsi="Times New Roman" w:cs="Times New Roman"/>
          <w:sz w:val="24"/>
          <w:szCs w:val="24"/>
        </w:rPr>
      </w:pPr>
      <w:r w:rsidRPr="00734DB5">
        <w:rPr>
          <w:rFonts w:ascii="Times New Roman" w:hAnsi="Times New Roman" w:cs="Times New Roman"/>
          <w:sz w:val="24"/>
          <w:szCs w:val="24"/>
        </w:rPr>
        <w:t xml:space="preserve">Data Analysis </w:t>
      </w:r>
    </w:p>
    <w:p w:rsidR="00734DB5" w:rsidRPr="00734DB5" w:rsidRDefault="00734DB5" w:rsidP="00734DB5">
      <w:pPr>
        <w:pStyle w:val="NoSpacing"/>
        <w:numPr>
          <w:ilvl w:val="0"/>
          <w:numId w:val="1"/>
        </w:numPr>
        <w:rPr>
          <w:rFonts w:ascii="Times New Roman" w:hAnsi="Times New Roman" w:cs="Times New Roman"/>
          <w:sz w:val="24"/>
          <w:szCs w:val="24"/>
        </w:rPr>
      </w:pPr>
      <w:r w:rsidRPr="00734DB5">
        <w:rPr>
          <w:rFonts w:ascii="Times New Roman" w:hAnsi="Times New Roman" w:cs="Times New Roman"/>
          <w:sz w:val="24"/>
          <w:szCs w:val="24"/>
        </w:rPr>
        <w:t>FINDINGS</w:t>
      </w:r>
    </w:p>
    <w:p w:rsidR="00734DB5" w:rsidRPr="00734DB5" w:rsidRDefault="00734DB5" w:rsidP="00734DB5">
      <w:pPr>
        <w:pStyle w:val="NoSpacing"/>
        <w:numPr>
          <w:ilvl w:val="1"/>
          <w:numId w:val="1"/>
        </w:numPr>
        <w:rPr>
          <w:rFonts w:ascii="Times New Roman" w:hAnsi="Times New Roman" w:cs="Times New Roman"/>
          <w:sz w:val="24"/>
          <w:szCs w:val="24"/>
        </w:rPr>
      </w:pPr>
      <w:r w:rsidRPr="00734DB5">
        <w:rPr>
          <w:rFonts w:ascii="Times New Roman" w:hAnsi="Times New Roman" w:cs="Times New Roman"/>
          <w:sz w:val="24"/>
          <w:szCs w:val="24"/>
        </w:rPr>
        <w:t>Ambiguity in Defining Goals and Success</w:t>
      </w:r>
    </w:p>
    <w:p w:rsidR="00734DB5" w:rsidRPr="00734DB5" w:rsidRDefault="00734DB5" w:rsidP="00734DB5">
      <w:pPr>
        <w:pStyle w:val="NoSpacing"/>
        <w:numPr>
          <w:ilvl w:val="1"/>
          <w:numId w:val="1"/>
        </w:numPr>
        <w:rPr>
          <w:rFonts w:ascii="Times New Roman" w:hAnsi="Times New Roman" w:cs="Times New Roman"/>
          <w:sz w:val="24"/>
          <w:szCs w:val="24"/>
        </w:rPr>
      </w:pPr>
      <w:r w:rsidRPr="00734DB5">
        <w:rPr>
          <w:rFonts w:ascii="Times New Roman" w:hAnsi="Times New Roman" w:cs="Times New Roman"/>
          <w:sz w:val="24"/>
          <w:szCs w:val="24"/>
        </w:rPr>
        <w:t xml:space="preserve">Multivocality: Using </w:t>
      </w:r>
      <w:r w:rsidR="00250A29">
        <w:rPr>
          <w:rFonts w:ascii="Times New Roman" w:hAnsi="Times New Roman" w:cs="Times New Roman"/>
          <w:sz w:val="24"/>
          <w:szCs w:val="24"/>
        </w:rPr>
        <w:t>Ambiguity to</w:t>
      </w:r>
      <w:r w:rsidRPr="00734DB5">
        <w:rPr>
          <w:rFonts w:ascii="Times New Roman" w:hAnsi="Times New Roman" w:cs="Times New Roman"/>
          <w:sz w:val="24"/>
          <w:szCs w:val="24"/>
        </w:rPr>
        <w:t xml:space="preserve"> Appease Multiple Audiences</w:t>
      </w:r>
    </w:p>
    <w:p w:rsidR="00734DB5" w:rsidRPr="00734DB5" w:rsidRDefault="00734DB5" w:rsidP="00734DB5">
      <w:pPr>
        <w:pStyle w:val="NoSpacing"/>
        <w:numPr>
          <w:ilvl w:val="1"/>
          <w:numId w:val="1"/>
        </w:numPr>
        <w:rPr>
          <w:rFonts w:ascii="Times New Roman" w:hAnsi="Times New Roman" w:cs="Times New Roman"/>
          <w:sz w:val="24"/>
          <w:szCs w:val="24"/>
        </w:rPr>
      </w:pPr>
      <w:r w:rsidRPr="00734DB5">
        <w:rPr>
          <w:rFonts w:ascii="Times New Roman" w:hAnsi="Times New Roman" w:cs="Times New Roman"/>
          <w:sz w:val="24"/>
          <w:szCs w:val="24"/>
        </w:rPr>
        <w:t xml:space="preserve">Myth-Making: Ambiguity Allows for Coherent Identity among </w:t>
      </w:r>
      <w:r w:rsidR="00B86939">
        <w:rPr>
          <w:rFonts w:ascii="Times New Roman" w:hAnsi="Times New Roman" w:cs="Times New Roman"/>
          <w:sz w:val="24"/>
          <w:szCs w:val="24"/>
        </w:rPr>
        <w:t xml:space="preserve">Competing </w:t>
      </w:r>
      <w:r w:rsidRPr="00734DB5">
        <w:rPr>
          <w:rFonts w:ascii="Times New Roman" w:hAnsi="Times New Roman" w:cs="Times New Roman"/>
          <w:sz w:val="24"/>
          <w:szCs w:val="24"/>
        </w:rPr>
        <w:t xml:space="preserve">Parts </w:t>
      </w:r>
    </w:p>
    <w:p w:rsidR="00734DB5" w:rsidRPr="00780324" w:rsidRDefault="00734DB5" w:rsidP="006F6A20">
      <w:pPr>
        <w:pStyle w:val="NoSpacing"/>
        <w:numPr>
          <w:ilvl w:val="0"/>
          <w:numId w:val="1"/>
        </w:numPr>
        <w:rPr>
          <w:rFonts w:ascii="Times New Roman" w:hAnsi="Times New Roman" w:cs="Times New Roman"/>
          <w:sz w:val="24"/>
          <w:szCs w:val="24"/>
        </w:rPr>
      </w:pPr>
      <w:r w:rsidRPr="00734DB5">
        <w:rPr>
          <w:rFonts w:ascii="Times New Roman" w:hAnsi="Times New Roman" w:cs="Times New Roman"/>
          <w:sz w:val="24"/>
          <w:szCs w:val="24"/>
        </w:rPr>
        <w:t xml:space="preserve">COUNTER EXAMPLE: </w:t>
      </w:r>
      <w:r w:rsidR="006F6A20" w:rsidRPr="006F6A20">
        <w:rPr>
          <w:rFonts w:ascii="Times New Roman" w:hAnsi="Times New Roman" w:cs="Times New Roman"/>
          <w:sz w:val="24"/>
          <w:szCs w:val="24"/>
        </w:rPr>
        <w:t>PARTIAL DISMISSAL AND COMPARTMENTALIZATION</w:t>
      </w:r>
    </w:p>
    <w:p w:rsidR="008F3DE9" w:rsidRPr="00780324" w:rsidRDefault="00953E08" w:rsidP="00953E08">
      <w:pPr>
        <w:pStyle w:val="NoSpacing"/>
        <w:numPr>
          <w:ilvl w:val="0"/>
          <w:numId w:val="1"/>
        </w:numPr>
        <w:rPr>
          <w:rFonts w:ascii="Times New Roman" w:hAnsi="Times New Roman" w:cs="Times New Roman"/>
          <w:sz w:val="24"/>
          <w:szCs w:val="24"/>
        </w:rPr>
      </w:pPr>
      <w:r w:rsidRPr="00953E08">
        <w:rPr>
          <w:rFonts w:ascii="Times New Roman" w:hAnsi="Times New Roman" w:cs="Times New Roman"/>
          <w:sz w:val="24"/>
          <w:szCs w:val="24"/>
        </w:rPr>
        <w:t xml:space="preserve">CONCLUSIONS </w:t>
      </w:r>
    </w:p>
    <w:sectPr w:rsidR="008F3DE9" w:rsidRPr="00780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21756"/>
    <w:multiLevelType w:val="hybridMultilevel"/>
    <w:tmpl w:val="0C86D4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546EAD"/>
    <w:multiLevelType w:val="hybridMultilevel"/>
    <w:tmpl w:val="3F6C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CD"/>
    <w:rsid w:val="000E3E62"/>
    <w:rsid w:val="00160ACD"/>
    <w:rsid w:val="00250A29"/>
    <w:rsid w:val="0051045A"/>
    <w:rsid w:val="005A537F"/>
    <w:rsid w:val="005A619D"/>
    <w:rsid w:val="005C0D4D"/>
    <w:rsid w:val="00662DA4"/>
    <w:rsid w:val="006F6A20"/>
    <w:rsid w:val="00734DB5"/>
    <w:rsid w:val="00780324"/>
    <w:rsid w:val="008F3DE9"/>
    <w:rsid w:val="00953E08"/>
    <w:rsid w:val="00B11DF4"/>
    <w:rsid w:val="00B86939"/>
    <w:rsid w:val="00E330B0"/>
    <w:rsid w:val="00F62062"/>
    <w:rsid w:val="00F85B1F"/>
    <w:rsid w:val="00F9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39CD"/>
    <w:pPr>
      <w:spacing w:after="0" w:line="240" w:lineRule="auto"/>
    </w:pPr>
  </w:style>
  <w:style w:type="character" w:customStyle="1" w:styleId="NoSpacingChar">
    <w:name w:val="No Spacing Char"/>
    <w:basedOn w:val="DefaultParagraphFont"/>
    <w:link w:val="NoSpacing"/>
    <w:uiPriority w:val="1"/>
    <w:rsid w:val="00F939CD"/>
  </w:style>
  <w:style w:type="character" w:styleId="Strong">
    <w:name w:val="Strong"/>
    <w:basedOn w:val="DefaultParagraphFont"/>
    <w:uiPriority w:val="22"/>
    <w:qFormat/>
    <w:rsid w:val="00734D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39CD"/>
    <w:pPr>
      <w:spacing w:after="0" w:line="240" w:lineRule="auto"/>
    </w:pPr>
  </w:style>
  <w:style w:type="character" w:customStyle="1" w:styleId="NoSpacingChar">
    <w:name w:val="No Spacing Char"/>
    <w:basedOn w:val="DefaultParagraphFont"/>
    <w:link w:val="NoSpacing"/>
    <w:uiPriority w:val="1"/>
    <w:rsid w:val="00F939CD"/>
  </w:style>
  <w:style w:type="character" w:styleId="Strong">
    <w:name w:val="Strong"/>
    <w:basedOn w:val="DefaultParagraphFont"/>
    <w:uiPriority w:val="22"/>
    <w:qFormat/>
    <w:rsid w:val="00734D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F15DC-95C9-4A96-98DA-4D1AC1EA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Kellogg School of Management</Company>
  <LinksUpToDate>false</LinksUpToDate>
  <CharactersWithSpaces>15051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Vontrese D Pamphile</dc:creator>
  <cp:lastModifiedBy>Vontrese D Pamphile</cp:lastModifiedBy>
  <cp:revision>9</cp:revision>
  <dcterms:created xsi:type="dcterms:W3CDTF">2016-08-14T15:18:00Z</dcterms:created>
  <dcterms:modified xsi:type="dcterms:W3CDTF">2016-08-16T02:27:00Z</dcterms:modified>
</cp:coreProperties>
</file>