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30038" w14:textId="77777777" w:rsidR="004E020B" w:rsidRPr="00FB6109" w:rsidRDefault="004E020B" w:rsidP="00230CAE">
      <w:pPr>
        <w:jc w:val="center"/>
        <w:rPr>
          <w:rFonts w:ascii="Times New Roman" w:hAnsi="Times New Roman"/>
          <w:b w:val="0"/>
          <w:sz w:val="24"/>
          <w:szCs w:val="24"/>
        </w:rPr>
      </w:pPr>
      <w:r w:rsidRPr="00FB6109">
        <w:rPr>
          <w:rFonts w:ascii="Times New Roman" w:hAnsi="Times New Roman"/>
          <w:sz w:val="24"/>
          <w:szCs w:val="24"/>
        </w:rPr>
        <w:t xml:space="preserve">Financialization of the Economy and Clean Technology Innovation: </w:t>
      </w:r>
    </w:p>
    <w:p w14:paraId="1C3C47C7" w14:textId="77777777" w:rsidR="004E020B" w:rsidRPr="00FB6109" w:rsidRDefault="004E020B" w:rsidP="00230CAE">
      <w:pPr>
        <w:jc w:val="center"/>
        <w:rPr>
          <w:rFonts w:ascii="Times New Roman" w:hAnsi="Times New Roman"/>
          <w:b w:val="0"/>
          <w:sz w:val="24"/>
          <w:szCs w:val="24"/>
        </w:rPr>
      </w:pPr>
      <w:r w:rsidRPr="00FB6109">
        <w:rPr>
          <w:rFonts w:ascii="Times New Roman" w:hAnsi="Times New Roman"/>
          <w:sz w:val="24"/>
          <w:szCs w:val="24"/>
        </w:rPr>
        <w:t>The Paradox of Institutional Investor Ownership</w:t>
      </w:r>
    </w:p>
    <w:p w14:paraId="4F9A5231" w14:textId="77777777" w:rsidR="004E020B" w:rsidRPr="00FB6109" w:rsidRDefault="004E020B" w:rsidP="00230CAE">
      <w:pPr>
        <w:rPr>
          <w:rFonts w:ascii="Times New Roman" w:hAnsi="Times New Roman"/>
          <w:b w:val="0"/>
          <w:sz w:val="24"/>
          <w:szCs w:val="24"/>
        </w:rPr>
      </w:pPr>
    </w:p>
    <w:p w14:paraId="6E5004C7" w14:textId="77777777" w:rsidR="00E361CB" w:rsidRPr="00FB6109" w:rsidRDefault="004E020B" w:rsidP="00E361CB">
      <w:pPr>
        <w:ind w:firstLine="720"/>
        <w:rPr>
          <w:rFonts w:ascii="Times New Roman" w:hAnsi="Times New Roman"/>
          <w:b w:val="0"/>
          <w:color w:val="000000" w:themeColor="text1"/>
          <w:sz w:val="24"/>
          <w:szCs w:val="24"/>
        </w:rPr>
      </w:pPr>
      <w:r w:rsidRPr="00FB6109">
        <w:rPr>
          <w:rFonts w:ascii="Times New Roman" w:hAnsi="Times New Roman"/>
          <w:b w:val="0"/>
          <w:color w:val="000000" w:themeColor="text1"/>
          <w:sz w:val="24"/>
          <w:szCs w:val="24"/>
        </w:rPr>
        <w:t xml:space="preserve">This paper examines how the rise of shareholder value orientation driven by the financialization of the economy impacts corporate environmental innovation. </w:t>
      </w:r>
      <w:r w:rsidR="00230CAE" w:rsidRPr="00FB6109">
        <w:rPr>
          <w:rFonts w:ascii="Times New Roman" w:hAnsi="Times New Roman"/>
          <w:b w:val="0"/>
          <w:color w:val="000000" w:themeColor="text1"/>
          <w:sz w:val="24"/>
          <w:szCs w:val="24"/>
        </w:rPr>
        <w:t>By focusing on the tension between corporate practices meeting shareholder demands and ongoing efforts for environmentally beneficial strategies, we can gain a deeper understanding of the fundamental tension between the managerial short-term orientation, embedded in the dominant market norm of shareholder value conception, and the long-term orientation for proactive corporate environmental strategies, embedded in the broader societal demands on corporate environmentalism.</w:t>
      </w:r>
      <w:r w:rsidR="00333CD3" w:rsidRPr="00FB6109">
        <w:rPr>
          <w:rFonts w:ascii="Times New Roman" w:hAnsi="Times New Roman"/>
          <w:b w:val="0"/>
          <w:color w:val="000000" w:themeColor="text1"/>
          <w:sz w:val="24"/>
          <w:szCs w:val="24"/>
        </w:rPr>
        <w:t xml:space="preserve"> </w:t>
      </w:r>
    </w:p>
    <w:p w14:paraId="0ED4447A" w14:textId="1CFAA352" w:rsidR="00E361CB" w:rsidRPr="00FB6109" w:rsidRDefault="00E361CB" w:rsidP="00E361CB">
      <w:pPr>
        <w:ind w:firstLine="720"/>
        <w:rPr>
          <w:rFonts w:ascii="Times New Roman" w:hAnsi="Times New Roman"/>
          <w:b w:val="0"/>
          <w:color w:val="000000" w:themeColor="text1"/>
          <w:sz w:val="24"/>
          <w:szCs w:val="24"/>
        </w:rPr>
      </w:pPr>
      <w:r w:rsidRPr="00FB6109">
        <w:rPr>
          <w:rFonts w:ascii="Times New Roman" w:hAnsi="Times New Roman"/>
          <w:b w:val="0"/>
          <w:color w:val="000000" w:themeColor="text1"/>
          <w:sz w:val="24"/>
          <w:szCs w:val="24"/>
        </w:rPr>
        <w:t>Organizational research on the conception of shareholder value has tended to focus on cases of how organizational generic strategies are well aligned with the demands of shareholders, yet sustainability research has tended to focus on cases of how organizations respond to institutional demands of corporate environmentalism. Hence, drawing from recent scholarly advances on inconsistencies in temporal orientations and inherent paradoxical natures in the generic business domain and the particular sustainability domain</w:t>
      </w:r>
      <w:r w:rsidR="00042881" w:rsidRPr="00FB6109">
        <w:rPr>
          <w:rFonts w:ascii="Times New Roman" w:hAnsi="Times New Roman"/>
          <w:b w:val="0"/>
          <w:color w:val="000000" w:themeColor="text1"/>
          <w:sz w:val="24"/>
          <w:szCs w:val="24"/>
        </w:rPr>
        <w:t xml:space="preserve"> (</w:t>
      </w:r>
      <w:r w:rsidR="00042881" w:rsidRPr="00FB6109">
        <w:rPr>
          <w:rFonts w:ascii="Times New Roman" w:eastAsia="Times New Roman" w:hAnsi="Times New Roman"/>
          <w:b w:val="0"/>
          <w:bCs w:val="0"/>
          <w:color w:val="222222"/>
          <w:sz w:val="24"/>
          <w:szCs w:val="24"/>
          <w:shd w:val="clear" w:color="auto" w:fill="FFFFFF"/>
          <w:lang w:val="en-CA"/>
        </w:rPr>
        <w:t>Bansal &amp; DesJardine, 2014; Hahn et al., 2014; Smith &amp; Lewis, 2011</w:t>
      </w:r>
      <w:r w:rsidR="00042881" w:rsidRPr="00FB6109">
        <w:rPr>
          <w:rFonts w:ascii="Times New Roman" w:hAnsi="Times New Roman"/>
          <w:b w:val="0"/>
          <w:color w:val="000000" w:themeColor="text1"/>
          <w:sz w:val="24"/>
          <w:szCs w:val="24"/>
        </w:rPr>
        <w:t>)</w:t>
      </w:r>
      <w:r w:rsidRPr="00FB6109">
        <w:rPr>
          <w:rFonts w:ascii="Times New Roman" w:hAnsi="Times New Roman"/>
          <w:b w:val="0"/>
          <w:color w:val="000000" w:themeColor="text1"/>
          <w:sz w:val="24"/>
          <w:szCs w:val="24"/>
        </w:rPr>
        <w:t>, we aim to bridge the gap between complexities in institutional demands in specific sectors or fields and a more general view of these dynamics. By doing so, this paper contributes to an understanding of how dominant cultural forces affect the stability and transformation of particular markets.</w:t>
      </w:r>
    </w:p>
    <w:p w14:paraId="24DF7E8B" w14:textId="6C1EBEBB" w:rsidR="00B10981" w:rsidRPr="00FB6109" w:rsidRDefault="00230CAE" w:rsidP="00042881">
      <w:pPr>
        <w:ind w:firstLine="720"/>
        <w:rPr>
          <w:rFonts w:ascii="Times New Roman" w:hAnsi="Times New Roman"/>
          <w:b w:val="0"/>
          <w:color w:val="000000" w:themeColor="text1"/>
          <w:sz w:val="24"/>
          <w:szCs w:val="24"/>
        </w:rPr>
      </w:pPr>
      <w:r w:rsidRPr="00FB6109">
        <w:rPr>
          <w:rFonts w:ascii="Times New Roman" w:hAnsi="Times New Roman"/>
          <w:b w:val="0"/>
          <w:color w:val="000000" w:themeColor="text1"/>
          <w:sz w:val="24"/>
          <w:szCs w:val="24"/>
        </w:rPr>
        <w:t>Empirically</w:t>
      </w:r>
      <w:r w:rsidR="004E020B" w:rsidRPr="00FB6109">
        <w:rPr>
          <w:rFonts w:ascii="Times New Roman" w:hAnsi="Times New Roman"/>
          <w:b w:val="0"/>
          <w:color w:val="000000" w:themeColor="text1"/>
          <w:sz w:val="24"/>
          <w:szCs w:val="24"/>
        </w:rPr>
        <w:t xml:space="preserve">, we </w:t>
      </w:r>
      <w:r w:rsidRPr="00FB6109">
        <w:rPr>
          <w:rFonts w:ascii="Times New Roman" w:hAnsi="Times New Roman"/>
          <w:b w:val="0"/>
          <w:color w:val="000000" w:themeColor="text1"/>
          <w:sz w:val="24"/>
          <w:szCs w:val="24"/>
        </w:rPr>
        <w:t>examine</w:t>
      </w:r>
      <w:r w:rsidR="004E020B" w:rsidRPr="00FB6109">
        <w:rPr>
          <w:rFonts w:ascii="Times New Roman" w:hAnsi="Times New Roman"/>
          <w:b w:val="0"/>
          <w:color w:val="000000" w:themeColor="text1"/>
          <w:sz w:val="24"/>
          <w:szCs w:val="24"/>
        </w:rPr>
        <w:t xml:space="preserve"> whether the growth of institutional investor ownership undermined ongoing managerial efforts to enhance clean technology innovation.  Drawing variations in ownership structure, industry, and regional characteristics, we investigate under which conditions such relationship between institutional ownership and clean technology innovation were mitigated or amplified. </w:t>
      </w:r>
      <w:r w:rsidR="00EE4619" w:rsidRPr="00FB6109">
        <w:rPr>
          <w:rFonts w:ascii="Times New Roman" w:hAnsi="Times New Roman"/>
          <w:b w:val="0"/>
          <w:color w:val="000000" w:themeColor="text1"/>
          <w:sz w:val="24"/>
          <w:szCs w:val="24"/>
        </w:rPr>
        <w:t>We develop</w:t>
      </w:r>
      <w:r w:rsidR="00333CD3" w:rsidRPr="00FB6109">
        <w:rPr>
          <w:rFonts w:ascii="Times New Roman" w:hAnsi="Times New Roman"/>
          <w:b w:val="0"/>
          <w:color w:val="000000" w:themeColor="text1"/>
          <w:sz w:val="24"/>
          <w:szCs w:val="24"/>
        </w:rPr>
        <w:t xml:space="preserve"> our theoretical framework from the joint consideration of institutional complexity in organizational environments </w:t>
      </w:r>
      <w:r w:rsidR="00042881" w:rsidRPr="00FB6109">
        <w:rPr>
          <w:rFonts w:ascii="Times New Roman" w:hAnsi="Times New Roman"/>
          <w:b w:val="0"/>
          <w:color w:val="000000" w:themeColor="text1"/>
          <w:sz w:val="24"/>
          <w:szCs w:val="24"/>
        </w:rPr>
        <w:t xml:space="preserve">(Friedland &amp; Alford, 1991; Greenwood et al., 2011; Thornton et al., 2012) </w:t>
      </w:r>
      <w:r w:rsidR="00333CD3" w:rsidRPr="00FB6109">
        <w:rPr>
          <w:rFonts w:ascii="Times New Roman" w:hAnsi="Times New Roman"/>
          <w:b w:val="0"/>
          <w:color w:val="000000" w:themeColor="text1"/>
          <w:sz w:val="24"/>
          <w:szCs w:val="24"/>
        </w:rPr>
        <w:t xml:space="preserve">and socially embedded and constituted agency </w:t>
      </w:r>
      <w:r w:rsidR="00EE4619" w:rsidRPr="00FB6109">
        <w:rPr>
          <w:rFonts w:ascii="Times New Roman" w:hAnsi="Times New Roman"/>
          <w:b w:val="0"/>
          <w:color w:val="000000" w:themeColor="text1"/>
          <w:sz w:val="24"/>
          <w:szCs w:val="24"/>
        </w:rPr>
        <w:t>as a carrier of cultural values</w:t>
      </w:r>
      <w:r w:rsidR="00042881" w:rsidRPr="00FB6109">
        <w:rPr>
          <w:rFonts w:ascii="Times New Roman" w:hAnsi="Times New Roman"/>
          <w:b w:val="0"/>
          <w:color w:val="000000" w:themeColor="text1"/>
          <w:sz w:val="24"/>
          <w:szCs w:val="24"/>
        </w:rPr>
        <w:t xml:space="preserve"> (Rao et al., 2003; Scott, 1995; Westphal &amp; Zajac, 2013)</w:t>
      </w:r>
      <w:r w:rsidR="00EE4619" w:rsidRPr="00FB6109">
        <w:rPr>
          <w:rFonts w:ascii="Times New Roman" w:hAnsi="Times New Roman"/>
          <w:b w:val="0"/>
          <w:color w:val="000000" w:themeColor="text1"/>
          <w:sz w:val="24"/>
          <w:szCs w:val="24"/>
        </w:rPr>
        <w:t xml:space="preserve">. </w:t>
      </w:r>
      <w:r w:rsidR="00B10981" w:rsidRPr="00FB6109">
        <w:rPr>
          <w:rFonts w:ascii="Times New Roman" w:hAnsi="Times New Roman"/>
          <w:b w:val="0"/>
          <w:color w:val="000000" w:themeColor="text1"/>
          <w:sz w:val="24"/>
          <w:szCs w:val="24"/>
        </w:rPr>
        <w:t xml:space="preserve">By focusing on different situational contingencies and the heterogeneity among institutional investors, </w:t>
      </w:r>
      <w:r w:rsidR="00333CD3" w:rsidRPr="00FB6109">
        <w:rPr>
          <w:rFonts w:ascii="Times New Roman" w:hAnsi="Times New Roman"/>
          <w:b w:val="0"/>
          <w:color w:val="000000" w:themeColor="text1"/>
          <w:sz w:val="24"/>
          <w:szCs w:val="24"/>
        </w:rPr>
        <w:t xml:space="preserve">we formulate several hypotheses that we test in data on a universe of U.S.-listed firms who participated in clean technology innovation from 1990 to 2004. A set of our hypotheses is </w:t>
      </w:r>
      <w:r w:rsidR="00224904" w:rsidRPr="00FB6109">
        <w:rPr>
          <w:rFonts w:ascii="Times New Roman" w:hAnsi="Times New Roman"/>
          <w:b w:val="0"/>
          <w:color w:val="000000" w:themeColor="text1"/>
          <w:sz w:val="24"/>
          <w:szCs w:val="24"/>
        </w:rPr>
        <w:t xml:space="preserve">as </w:t>
      </w:r>
      <w:r w:rsidR="00333CD3" w:rsidRPr="00FB6109">
        <w:rPr>
          <w:rFonts w:ascii="Times New Roman" w:hAnsi="Times New Roman"/>
          <w:b w:val="0"/>
          <w:color w:val="000000" w:themeColor="text1"/>
          <w:sz w:val="24"/>
          <w:szCs w:val="24"/>
        </w:rPr>
        <w:t xml:space="preserve">follows: </w:t>
      </w:r>
    </w:p>
    <w:p w14:paraId="2D065E9C" w14:textId="77777777" w:rsidR="00230CAE" w:rsidRPr="00FB6109" w:rsidRDefault="00230CAE" w:rsidP="00B10981">
      <w:pPr>
        <w:ind w:left="720"/>
        <w:rPr>
          <w:rFonts w:ascii="Times New Roman" w:eastAsia="Times New Roman" w:hAnsi="Times New Roman"/>
          <w:b w:val="0"/>
          <w:bCs w:val="0"/>
          <w:i/>
          <w:color w:val="000000" w:themeColor="text1"/>
          <w:sz w:val="24"/>
          <w:szCs w:val="24"/>
          <w:lang w:val="en-CA"/>
        </w:rPr>
      </w:pPr>
      <w:r w:rsidRPr="00FB6109">
        <w:rPr>
          <w:rFonts w:ascii="Times New Roman" w:eastAsia="Times New Roman" w:hAnsi="Times New Roman"/>
          <w:b w:val="0"/>
          <w:bCs w:val="0"/>
          <w:i/>
          <w:color w:val="000000" w:themeColor="text1"/>
          <w:sz w:val="24"/>
          <w:szCs w:val="24"/>
          <w:shd w:val="clear" w:color="auto" w:fill="FFFFFF"/>
          <w:lang w:val="en-CA"/>
        </w:rPr>
        <w:t xml:space="preserve">H1. Institutional ownership has a </w:t>
      </w:r>
      <w:r w:rsidRPr="00FB6109">
        <w:rPr>
          <w:rFonts w:ascii="Times New Roman" w:eastAsia="Times New Roman" w:hAnsi="Times New Roman"/>
          <w:bCs w:val="0"/>
          <w:i/>
          <w:color w:val="000000" w:themeColor="text1"/>
          <w:sz w:val="24"/>
          <w:szCs w:val="24"/>
          <w:shd w:val="clear" w:color="auto" w:fill="FFFFFF"/>
          <w:lang w:val="en-CA"/>
        </w:rPr>
        <w:t>negative</w:t>
      </w:r>
      <w:r w:rsidRPr="00FB6109">
        <w:rPr>
          <w:rFonts w:ascii="Times New Roman" w:eastAsia="Times New Roman" w:hAnsi="Times New Roman"/>
          <w:b w:val="0"/>
          <w:bCs w:val="0"/>
          <w:i/>
          <w:color w:val="000000" w:themeColor="text1"/>
          <w:sz w:val="24"/>
          <w:szCs w:val="24"/>
          <w:shd w:val="clear" w:color="auto" w:fill="FFFFFF"/>
          <w:lang w:val="en-CA"/>
        </w:rPr>
        <w:t xml:space="preserve"> relationship with clean technology innovation.</w:t>
      </w:r>
    </w:p>
    <w:p w14:paraId="68684CCD" w14:textId="77777777" w:rsidR="004F6819" w:rsidRPr="00FB6109" w:rsidRDefault="004F6819" w:rsidP="00B10981">
      <w:pPr>
        <w:ind w:left="720"/>
        <w:rPr>
          <w:rFonts w:ascii="Times New Roman" w:eastAsia="Times New Roman" w:hAnsi="Times New Roman"/>
          <w:b w:val="0"/>
          <w:bCs w:val="0"/>
          <w:i/>
          <w:color w:val="000000" w:themeColor="text1"/>
          <w:sz w:val="24"/>
          <w:szCs w:val="24"/>
          <w:lang w:val="en-CA"/>
        </w:rPr>
      </w:pPr>
      <w:r w:rsidRPr="00FB6109">
        <w:rPr>
          <w:rFonts w:ascii="Times New Roman" w:eastAsia="Times New Roman" w:hAnsi="Times New Roman"/>
          <w:b w:val="0"/>
          <w:bCs w:val="0"/>
          <w:i/>
          <w:color w:val="000000" w:themeColor="text1"/>
          <w:sz w:val="24"/>
          <w:szCs w:val="24"/>
          <w:shd w:val="clear" w:color="auto" w:fill="FFFFFF"/>
          <w:lang w:val="en-CA"/>
        </w:rPr>
        <w:t xml:space="preserve">H2. The negative relationship </w:t>
      </w:r>
      <w:r w:rsidR="00333CD3" w:rsidRPr="00FB6109">
        <w:rPr>
          <w:rFonts w:ascii="Times New Roman" w:eastAsia="Times New Roman" w:hAnsi="Times New Roman"/>
          <w:b w:val="0"/>
          <w:bCs w:val="0"/>
          <w:i/>
          <w:color w:val="000000" w:themeColor="text1"/>
          <w:sz w:val="24"/>
          <w:szCs w:val="24"/>
          <w:shd w:val="clear" w:color="auto" w:fill="FFFFFF"/>
          <w:lang w:val="en-CA"/>
        </w:rPr>
        <w:t>posited in H1</w:t>
      </w:r>
      <w:r w:rsidRPr="00FB6109">
        <w:rPr>
          <w:rFonts w:ascii="Times New Roman" w:eastAsia="Times New Roman" w:hAnsi="Times New Roman"/>
          <w:b w:val="0"/>
          <w:bCs w:val="0"/>
          <w:i/>
          <w:color w:val="000000" w:themeColor="text1"/>
          <w:sz w:val="24"/>
          <w:szCs w:val="24"/>
          <w:shd w:val="clear" w:color="auto" w:fill="FFFFFF"/>
          <w:lang w:val="en-CA"/>
        </w:rPr>
        <w:t xml:space="preserve"> is </w:t>
      </w:r>
      <w:r w:rsidRPr="00FB6109">
        <w:rPr>
          <w:rFonts w:ascii="Times New Roman" w:eastAsia="Times New Roman" w:hAnsi="Times New Roman"/>
          <w:bCs w:val="0"/>
          <w:i/>
          <w:color w:val="000000" w:themeColor="text1"/>
          <w:sz w:val="24"/>
          <w:szCs w:val="24"/>
          <w:shd w:val="clear" w:color="auto" w:fill="FFFFFF"/>
          <w:lang w:val="en-CA"/>
        </w:rPr>
        <w:t>weaker</w:t>
      </w:r>
      <w:r w:rsidRPr="00FB6109">
        <w:rPr>
          <w:rFonts w:ascii="Times New Roman" w:eastAsia="Times New Roman" w:hAnsi="Times New Roman"/>
          <w:b w:val="0"/>
          <w:bCs w:val="0"/>
          <w:i/>
          <w:color w:val="000000" w:themeColor="text1"/>
          <w:sz w:val="24"/>
          <w:szCs w:val="24"/>
          <w:shd w:val="clear" w:color="auto" w:fill="FFFFFF"/>
          <w:lang w:val="en-CA"/>
        </w:rPr>
        <w:t xml:space="preserve">, when (a) institutional ownership is concentrated or (b) a firm is owned by families. </w:t>
      </w:r>
    </w:p>
    <w:p w14:paraId="04575547" w14:textId="77777777" w:rsidR="004F6819" w:rsidRPr="00FB6109" w:rsidRDefault="00230CAE" w:rsidP="00B10981">
      <w:pPr>
        <w:ind w:left="720"/>
        <w:rPr>
          <w:rFonts w:ascii="Times New Roman" w:eastAsia="Times New Roman" w:hAnsi="Times New Roman"/>
          <w:b w:val="0"/>
          <w:bCs w:val="0"/>
          <w:i/>
          <w:color w:val="000000" w:themeColor="text1"/>
          <w:sz w:val="24"/>
          <w:szCs w:val="24"/>
          <w:lang w:val="en-CA"/>
        </w:rPr>
      </w:pPr>
      <w:r w:rsidRPr="00FB6109">
        <w:rPr>
          <w:rFonts w:ascii="Times New Roman" w:eastAsia="Times New Roman" w:hAnsi="Times New Roman"/>
          <w:b w:val="0"/>
          <w:bCs w:val="0"/>
          <w:i/>
          <w:color w:val="000000" w:themeColor="text1"/>
          <w:sz w:val="24"/>
          <w:szCs w:val="24"/>
          <w:shd w:val="clear" w:color="auto" w:fill="FFFFFF"/>
          <w:lang w:val="en-CA"/>
        </w:rPr>
        <w:t>H</w:t>
      </w:r>
      <w:r w:rsidR="004F6819" w:rsidRPr="00FB6109">
        <w:rPr>
          <w:rFonts w:ascii="Times New Roman" w:eastAsia="Times New Roman" w:hAnsi="Times New Roman"/>
          <w:b w:val="0"/>
          <w:bCs w:val="0"/>
          <w:i/>
          <w:color w:val="000000" w:themeColor="text1"/>
          <w:sz w:val="24"/>
          <w:szCs w:val="24"/>
          <w:shd w:val="clear" w:color="auto" w:fill="FFFFFF"/>
          <w:lang w:val="en-CA"/>
        </w:rPr>
        <w:t xml:space="preserve">3. The negative relationship </w:t>
      </w:r>
      <w:r w:rsidR="00333CD3" w:rsidRPr="00FB6109">
        <w:rPr>
          <w:rFonts w:ascii="Times New Roman" w:eastAsia="Times New Roman" w:hAnsi="Times New Roman"/>
          <w:b w:val="0"/>
          <w:bCs w:val="0"/>
          <w:i/>
          <w:color w:val="000000" w:themeColor="text1"/>
          <w:sz w:val="24"/>
          <w:szCs w:val="24"/>
          <w:shd w:val="clear" w:color="auto" w:fill="FFFFFF"/>
          <w:lang w:val="en-CA"/>
        </w:rPr>
        <w:t xml:space="preserve">posited in H1 </w:t>
      </w:r>
      <w:r w:rsidR="004F6819" w:rsidRPr="00FB6109">
        <w:rPr>
          <w:rFonts w:ascii="Times New Roman" w:eastAsia="Times New Roman" w:hAnsi="Times New Roman"/>
          <w:b w:val="0"/>
          <w:bCs w:val="0"/>
          <w:i/>
          <w:color w:val="000000" w:themeColor="text1"/>
          <w:sz w:val="24"/>
          <w:szCs w:val="24"/>
          <w:shd w:val="clear" w:color="auto" w:fill="FFFFFF"/>
          <w:lang w:val="en-CA"/>
        </w:rPr>
        <w:t xml:space="preserve">is </w:t>
      </w:r>
      <w:r w:rsidR="004F6819" w:rsidRPr="00FB6109">
        <w:rPr>
          <w:rFonts w:ascii="Times New Roman" w:eastAsia="Times New Roman" w:hAnsi="Times New Roman"/>
          <w:bCs w:val="0"/>
          <w:i/>
          <w:color w:val="000000" w:themeColor="text1"/>
          <w:sz w:val="24"/>
          <w:szCs w:val="24"/>
          <w:shd w:val="clear" w:color="auto" w:fill="FFFFFF"/>
          <w:lang w:val="en-CA"/>
        </w:rPr>
        <w:t>weaker</w:t>
      </w:r>
      <w:r w:rsidR="004F6819" w:rsidRPr="00FB6109">
        <w:rPr>
          <w:rFonts w:ascii="Times New Roman" w:eastAsia="Times New Roman" w:hAnsi="Times New Roman"/>
          <w:b w:val="0"/>
          <w:bCs w:val="0"/>
          <w:i/>
          <w:color w:val="000000" w:themeColor="text1"/>
          <w:sz w:val="24"/>
          <w:szCs w:val="24"/>
          <w:shd w:val="clear" w:color="auto" w:fill="FFFFFF"/>
          <w:lang w:val="en-CA"/>
        </w:rPr>
        <w:t xml:space="preserve">, when a firm’s focal domain operates in (a) an environmentally regulated sector or (b) an individual consumer focus (B2C). </w:t>
      </w:r>
    </w:p>
    <w:p w14:paraId="256F417D" w14:textId="77777777" w:rsidR="004E020B" w:rsidRPr="00FB6109" w:rsidRDefault="00230CAE" w:rsidP="00B10981">
      <w:pPr>
        <w:ind w:left="720"/>
        <w:rPr>
          <w:rFonts w:ascii="Times New Roman" w:eastAsia="Times New Roman" w:hAnsi="Times New Roman"/>
          <w:b w:val="0"/>
          <w:bCs w:val="0"/>
          <w:i/>
          <w:color w:val="000000" w:themeColor="text1"/>
          <w:sz w:val="24"/>
          <w:szCs w:val="24"/>
          <w:lang w:val="en-CA"/>
        </w:rPr>
      </w:pPr>
      <w:r w:rsidRPr="00FB6109">
        <w:rPr>
          <w:rFonts w:ascii="Times New Roman" w:eastAsia="Times New Roman" w:hAnsi="Times New Roman"/>
          <w:b w:val="0"/>
          <w:bCs w:val="0"/>
          <w:i/>
          <w:color w:val="000000" w:themeColor="text1"/>
          <w:sz w:val="24"/>
          <w:szCs w:val="24"/>
          <w:shd w:val="clear" w:color="auto" w:fill="FFFFFF"/>
          <w:lang w:val="en-CA"/>
        </w:rPr>
        <w:t>H</w:t>
      </w:r>
      <w:r w:rsidR="004F6819" w:rsidRPr="00FB6109">
        <w:rPr>
          <w:rFonts w:ascii="Times New Roman" w:eastAsia="Times New Roman" w:hAnsi="Times New Roman"/>
          <w:b w:val="0"/>
          <w:bCs w:val="0"/>
          <w:i/>
          <w:color w:val="000000" w:themeColor="text1"/>
          <w:sz w:val="24"/>
          <w:szCs w:val="24"/>
          <w:shd w:val="clear" w:color="auto" w:fill="FFFFFF"/>
          <w:lang w:val="en-CA"/>
        </w:rPr>
        <w:t xml:space="preserve">4. The negative relationship </w:t>
      </w:r>
      <w:r w:rsidR="00333CD3" w:rsidRPr="00FB6109">
        <w:rPr>
          <w:rFonts w:ascii="Times New Roman" w:eastAsia="Times New Roman" w:hAnsi="Times New Roman"/>
          <w:b w:val="0"/>
          <w:bCs w:val="0"/>
          <w:i/>
          <w:color w:val="000000" w:themeColor="text1"/>
          <w:sz w:val="24"/>
          <w:szCs w:val="24"/>
          <w:shd w:val="clear" w:color="auto" w:fill="FFFFFF"/>
          <w:lang w:val="en-CA"/>
        </w:rPr>
        <w:t xml:space="preserve">posited in H1 </w:t>
      </w:r>
      <w:r w:rsidR="004F6819" w:rsidRPr="00FB6109">
        <w:rPr>
          <w:rFonts w:ascii="Times New Roman" w:eastAsia="Times New Roman" w:hAnsi="Times New Roman"/>
          <w:b w:val="0"/>
          <w:bCs w:val="0"/>
          <w:i/>
          <w:color w:val="000000" w:themeColor="text1"/>
          <w:sz w:val="24"/>
          <w:szCs w:val="24"/>
          <w:shd w:val="clear" w:color="auto" w:fill="FFFFFF"/>
          <w:lang w:val="en-CA"/>
        </w:rPr>
        <w:t xml:space="preserve">is </w:t>
      </w:r>
      <w:r w:rsidR="004F6819" w:rsidRPr="00FB6109">
        <w:rPr>
          <w:rFonts w:ascii="Times New Roman" w:eastAsia="Times New Roman" w:hAnsi="Times New Roman"/>
          <w:bCs w:val="0"/>
          <w:i/>
          <w:color w:val="000000" w:themeColor="text1"/>
          <w:sz w:val="24"/>
          <w:szCs w:val="24"/>
          <w:shd w:val="clear" w:color="auto" w:fill="FFFFFF"/>
          <w:lang w:val="en-CA"/>
        </w:rPr>
        <w:t>stronger</w:t>
      </w:r>
      <w:r w:rsidR="004F6819" w:rsidRPr="00FB6109">
        <w:rPr>
          <w:rFonts w:ascii="Times New Roman" w:eastAsia="Times New Roman" w:hAnsi="Times New Roman"/>
          <w:b w:val="0"/>
          <w:bCs w:val="0"/>
          <w:i/>
          <w:color w:val="000000" w:themeColor="text1"/>
          <w:sz w:val="24"/>
          <w:szCs w:val="24"/>
          <w:shd w:val="clear" w:color="auto" w:fill="FFFFFF"/>
          <w:lang w:val="en-CA"/>
        </w:rPr>
        <w:t xml:space="preserve">, when a firm’s headquarters is located in (a) an eco-friendly state or (b) a Democratic state. </w:t>
      </w:r>
    </w:p>
    <w:p w14:paraId="422C7C6B" w14:textId="048FA6CB" w:rsidR="00333CD3" w:rsidRPr="00FB6109" w:rsidRDefault="00230CAE" w:rsidP="00042881">
      <w:pPr>
        <w:ind w:left="720"/>
        <w:rPr>
          <w:rFonts w:ascii="Times New Roman" w:eastAsia="Times New Roman" w:hAnsi="Times New Roman"/>
          <w:b w:val="0"/>
          <w:bCs w:val="0"/>
          <w:i/>
          <w:color w:val="000000" w:themeColor="text1"/>
          <w:sz w:val="24"/>
          <w:szCs w:val="24"/>
          <w:lang w:val="en-CA"/>
        </w:rPr>
      </w:pPr>
      <w:r w:rsidRPr="00FB6109">
        <w:rPr>
          <w:rFonts w:ascii="Times New Roman" w:eastAsia="Times New Roman" w:hAnsi="Times New Roman"/>
          <w:b w:val="0"/>
          <w:bCs w:val="0"/>
          <w:i/>
          <w:color w:val="000000" w:themeColor="text1"/>
          <w:sz w:val="24"/>
          <w:szCs w:val="24"/>
          <w:shd w:val="clear" w:color="auto" w:fill="FFFFFF"/>
          <w:lang w:val="en-CA"/>
        </w:rPr>
        <w:t>H</w:t>
      </w:r>
      <w:r w:rsidR="004F6819" w:rsidRPr="00FB6109">
        <w:rPr>
          <w:rFonts w:ascii="Times New Roman" w:eastAsia="Times New Roman" w:hAnsi="Times New Roman"/>
          <w:b w:val="0"/>
          <w:bCs w:val="0"/>
          <w:i/>
          <w:color w:val="000000" w:themeColor="text1"/>
          <w:sz w:val="24"/>
          <w:szCs w:val="24"/>
          <w:shd w:val="clear" w:color="auto" w:fill="FFFFFF"/>
          <w:lang w:val="en-CA"/>
        </w:rPr>
        <w:t xml:space="preserve">5. The negative relationship </w:t>
      </w:r>
      <w:r w:rsidR="00333CD3" w:rsidRPr="00FB6109">
        <w:rPr>
          <w:rFonts w:ascii="Times New Roman" w:eastAsia="Times New Roman" w:hAnsi="Times New Roman"/>
          <w:b w:val="0"/>
          <w:bCs w:val="0"/>
          <w:i/>
          <w:color w:val="000000" w:themeColor="text1"/>
          <w:sz w:val="24"/>
          <w:szCs w:val="24"/>
          <w:shd w:val="clear" w:color="auto" w:fill="FFFFFF"/>
          <w:lang w:val="en-CA"/>
        </w:rPr>
        <w:t xml:space="preserve">posited in H1 </w:t>
      </w:r>
      <w:r w:rsidR="004F6819" w:rsidRPr="00FB6109">
        <w:rPr>
          <w:rFonts w:ascii="Times New Roman" w:eastAsia="Times New Roman" w:hAnsi="Times New Roman"/>
          <w:b w:val="0"/>
          <w:bCs w:val="0"/>
          <w:i/>
          <w:color w:val="000000" w:themeColor="text1"/>
          <w:sz w:val="24"/>
          <w:szCs w:val="24"/>
          <w:shd w:val="clear" w:color="auto" w:fill="FFFFFF"/>
          <w:lang w:val="en-CA"/>
        </w:rPr>
        <w:t xml:space="preserve">is </w:t>
      </w:r>
      <w:r w:rsidR="004F6819" w:rsidRPr="00FB6109">
        <w:rPr>
          <w:rFonts w:ascii="Times New Roman" w:eastAsia="Times New Roman" w:hAnsi="Times New Roman"/>
          <w:bCs w:val="0"/>
          <w:i/>
          <w:color w:val="000000" w:themeColor="text1"/>
          <w:sz w:val="24"/>
          <w:szCs w:val="24"/>
          <w:shd w:val="clear" w:color="auto" w:fill="FFFFFF"/>
          <w:lang w:val="en-CA"/>
        </w:rPr>
        <w:t>stronger</w:t>
      </w:r>
      <w:r w:rsidR="004F6819" w:rsidRPr="00FB6109">
        <w:rPr>
          <w:rFonts w:ascii="Times New Roman" w:eastAsia="Times New Roman" w:hAnsi="Times New Roman"/>
          <w:b w:val="0"/>
          <w:bCs w:val="0"/>
          <w:i/>
          <w:color w:val="000000" w:themeColor="text1"/>
          <w:sz w:val="24"/>
          <w:szCs w:val="24"/>
          <w:shd w:val="clear" w:color="auto" w:fill="FFFFFF"/>
          <w:lang w:val="en-CA"/>
        </w:rPr>
        <w:t xml:space="preserve"> for (a) transient institutional ownership or (b) predominant institutional ownership (investor advisor &amp; mutual funds). </w:t>
      </w:r>
    </w:p>
    <w:p w14:paraId="1ADCB63F" w14:textId="7445BE37" w:rsidR="00BE7703" w:rsidRPr="00FB6109" w:rsidRDefault="00BE7703" w:rsidP="00BE7703">
      <w:pPr>
        <w:ind w:firstLine="720"/>
        <w:rPr>
          <w:rFonts w:ascii="Times New Roman" w:hAnsi="Times New Roman"/>
          <w:b w:val="0"/>
          <w:color w:val="000000" w:themeColor="text1"/>
          <w:sz w:val="24"/>
          <w:szCs w:val="24"/>
        </w:rPr>
      </w:pPr>
      <w:r w:rsidRPr="00FB6109">
        <w:rPr>
          <w:rFonts w:ascii="Times New Roman" w:hAnsi="Times New Roman"/>
          <w:b w:val="0"/>
          <w:color w:val="000000" w:themeColor="text1"/>
          <w:sz w:val="24"/>
          <w:szCs w:val="24"/>
        </w:rPr>
        <w:lastRenderedPageBreak/>
        <w:t xml:space="preserve">To test our hypotheses, we assemble firm-level data from a variety of sources. We link clean technology patents data obtained from CleanTech PatentEdge with the NBER Patent Project data and the Harvard Patent Dataverse data to match these data with Compustat from 1980 to 2010. Institutional ownership data are from Thomson Reuters and Brian Bushee. We consult with several archival sources to construct ownership, industry, and regional variables in our sample. </w:t>
      </w:r>
      <w:r w:rsidRPr="00FB6109">
        <w:rPr>
          <w:rFonts w:ascii="Times New Roman" w:eastAsia="Times New Roman" w:hAnsi="Times New Roman"/>
          <w:b w:val="0"/>
          <w:bCs w:val="0"/>
          <w:color w:val="000000" w:themeColor="text1"/>
          <w:sz w:val="24"/>
          <w:szCs w:val="24"/>
          <w:lang w:val="en-CA"/>
        </w:rPr>
        <w:t>As we employ fixed-effects models</w:t>
      </w:r>
      <w:r w:rsidR="00042881" w:rsidRPr="00FB6109">
        <w:rPr>
          <w:rFonts w:ascii="Times New Roman" w:eastAsia="Times New Roman" w:hAnsi="Times New Roman"/>
          <w:b w:val="0"/>
          <w:bCs w:val="0"/>
          <w:color w:val="000000" w:themeColor="text1"/>
          <w:sz w:val="24"/>
          <w:szCs w:val="24"/>
          <w:lang w:val="en-CA"/>
        </w:rPr>
        <w:t xml:space="preserve"> by </w:t>
      </w:r>
      <w:r w:rsidR="00042881" w:rsidRPr="00FB6109">
        <w:rPr>
          <w:rFonts w:ascii="Times New Roman" w:hAnsi="Times New Roman"/>
          <w:b w:val="0"/>
          <w:color w:val="000000" w:themeColor="text1"/>
          <w:sz w:val="24"/>
          <w:szCs w:val="24"/>
        </w:rPr>
        <w:t>employing pre-sample mean scaling estimators</w:t>
      </w:r>
      <w:r w:rsidRPr="00FB6109">
        <w:rPr>
          <w:rFonts w:ascii="Times New Roman" w:eastAsia="Times New Roman" w:hAnsi="Times New Roman"/>
          <w:b w:val="0"/>
          <w:bCs w:val="0"/>
          <w:color w:val="000000" w:themeColor="text1"/>
          <w:sz w:val="24"/>
          <w:szCs w:val="24"/>
          <w:lang w:val="en-CA"/>
        </w:rPr>
        <w:t xml:space="preserve">, we require a firm to have at least one successful clean technology patent application in our sample period, which is the main restriction from the overall Compustat database. To avoid the </w:t>
      </w:r>
      <w:r w:rsidR="00DB50A1">
        <w:rPr>
          <w:rFonts w:ascii="Times New Roman" w:eastAsia="Times New Roman" w:hAnsi="Times New Roman"/>
          <w:b w:val="0"/>
          <w:bCs w:val="0"/>
          <w:color w:val="000000" w:themeColor="text1"/>
          <w:sz w:val="24"/>
          <w:szCs w:val="24"/>
          <w:lang w:val="en-CA"/>
        </w:rPr>
        <w:t>data</w:t>
      </w:r>
      <w:r w:rsidRPr="00FB6109">
        <w:rPr>
          <w:rFonts w:ascii="Times New Roman" w:eastAsia="Times New Roman" w:hAnsi="Times New Roman"/>
          <w:b w:val="0"/>
          <w:bCs w:val="0"/>
          <w:color w:val="000000" w:themeColor="text1"/>
          <w:sz w:val="24"/>
          <w:szCs w:val="24"/>
          <w:lang w:val="en-CA"/>
        </w:rPr>
        <w:t xml:space="preserve"> truncation bias, we choose our sample period from 1990 to 2004. Although the number of observations varies by specific regression, the baseline sample for our analyses contains 6,875 observations on 856 firms. Our hypotheses are supported throughout our analyses. </w:t>
      </w:r>
    </w:p>
    <w:p w14:paraId="3FADDE60" w14:textId="73ADEE84" w:rsidR="00B10981" w:rsidRPr="00FB6109" w:rsidRDefault="00B61D34" w:rsidP="00B10981">
      <w:pPr>
        <w:ind w:firstLine="720"/>
        <w:rPr>
          <w:rFonts w:ascii="Times New Roman" w:hAnsi="Times New Roman"/>
          <w:b w:val="0"/>
          <w:color w:val="000000" w:themeColor="text1"/>
          <w:sz w:val="24"/>
          <w:szCs w:val="24"/>
        </w:rPr>
      </w:pPr>
      <w:r w:rsidRPr="00FB6109">
        <w:rPr>
          <w:rFonts w:ascii="Times New Roman" w:hAnsi="Times New Roman"/>
          <w:b w:val="0"/>
          <w:color w:val="000000" w:themeColor="text1"/>
          <w:sz w:val="24"/>
          <w:szCs w:val="24"/>
        </w:rPr>
        <w:t>E</w:t>
      </w:r>
      <w:r w:rsidR="00B10981" w:rsidRPr="00FB6109">
        <w:rPr>
          <w:rFonts w:ascii="Times New Roman" w:hAnsi="Times New Roman"/>
          <w:b w:val="0"/>
          <w:color w:val="000000" w:themeColor="text1"/>
          <w:sz w:val="24"/>
          <w:szCs w:val="24"/>
        </w:rPr>
        <w:t xml:space="preserve">fforts to bridge the gap between the general domain of organizational theory on financialization </w:t>
      </w:r>
      <w:r w:rsidR="00042881" w:rsidRPr="00FB6109">
        <w:rPr>
          <w:rFonts w:ascii="Times New Roman" w:hAnsi="Times New Roman"/>
          <w:b w:val="0"/>
          <w:color w:val="000000" w:themeColor="text1"/>
          <w:sz w:val="24"/>
          <w:szCs w:val="24"/>
        </w:rPr>
        <w:t xml:space="preserve">(Useem, 1996; Davis &amp; Kim, 2015) </w:t>
      </w:r>
      <w:r w:rsidR="00B10981" w:rsidRPr="00FB6109">
        <w:rPr>
          <w:rFonts w:ascii="Times New Roman" w:hAnsi="Times New Roman"/>
          <w:b w:val="0"/>
          <w:color w:val="000000" w:themeColor="text1"/>
          <w:sz w:val="24"/>
          <w:szCs w:val="24"/>
        </w:rPr>
        <w:t xml:space="preserve">and institutional complexity approaches </w:t>
      </w:r>
      <w:r w:rsidR="00042881" w:rsidRPr="00FB6109">
        <w:rPr>
          <w:rFonts w:ascii="Times New Roman" w:hAnsi="Times New Roman"/>
          <w:b w:val="0"/>
          <w:color w:val="000000" w:themeColor="text1"/>
          <w:sz w:val="24"/>
          <w:szCs w:val="24"/>
        </w:rPr>
        <w:t xml:space="preserve">(Friedland &amp; Alford, 1991; Smith &amp; Tracey, 2016) </w:t>
      </w:r>
      <w:r w:rsidR="00B10981" w:rsidRPr="00FB6109">
        <w:rPr>
          <w:rFonts w:ascii="Times New Roman" w:hAnsi="Times New Roman"/>
          <w:b w:val="0"/>
          <w:color w:val="000000" w:themeColor="text1"/>
          <w:sz w:val="24"/>
          <w:szCs w:val="24"/>
        </w:rPr>
        <w:t xml:space="preserve">have important implications for sustainability research. There has been substantial progress on the notion that managerial behavior is situated and constituted by heterogeneous institutional forces, yet we need a finer-grained mechanism of how managerial efforts for sustainability are bounded by broader tensions over temporal orientation among market players, bringing paradoxical dimensions in such efforts. </w:t>
      </w:r>
      <w:r w:rsidRPr="00FB6109">
        <w:rPr>
          <w:rFonts w:ascii="Times New Roman" w:hAnsi="Times New Roman"/>
          <w:b w:val="0"/>
          <w:color w:val="000000" w:themeColor="text1"/>
          <w:sz w:val="24"/>
          <w:szCs w:val="24"/>
        </w:rPr>
        <w:t>F</w:t>
      </w:r>
      <w:r w:rsidR="00B10981" w:rsidRPr="00FB6109">
        <w:rPr>
          <w:rFonts w:ascii="Times New Roman" w:hAnsi="Times New Roman"/>
          <w:b w:val="0"/>
          <w:color w:val="000000" w:themeColor="text1"/>
          <w:sz w:val="24"/>
          <w:szCs w:val="24"/>
        </w:rPr>
        <w:t>ocusing on the fundamental tension in temporal orientations between proactive environmental strategy and shareholder value maximization, in the context of clean technology innovation, we advance the notion of the means-ends decoupling embedded in heterogeneous institutional demands</w:t>
      </w:r>
      <w:r w:rsidR="00F45CA5" w:rsidRPr="00FB6109">
        <w:rPr>
          <w:rFonts w:ascii="Times New Roman" w:hAnsi="Times New Roman"/>
          <w:b w:val="0"/>
          <w:color w:val="000000" w:themeColor="text1"/>
          <w:sz w:val="24"/>
          <w:szCs w:val="24"/>
        </w:rPr>
        <w:t xml:space="preserve"> (Bromley &amp; Powell, 2012; Wijen, 2014)</w:t>
      </w:r>
      <w:r w:rsidR="00B10981" w:rsidRPr="00FB6109">
        <w:rPr>
          <w:rFonts w:ascii="Times New Roman" w:hAnsi="Times New Roman"/>
          <w:b w:val="0"/>
          <w:color w:val="000000" w:themeColor="text1"/>
          <w:sz w:val="24"/>
          <w:szCs w:val="24"/>
        </w:rPr>
        <w:t>. Related, such issue touches upon the fundamental tension between the logic of appropriateness and the logic of consequences</w:t>
      </w:r>
      <w:r w:rsidR="00F45CA5" w:rsidRPr="00FB6109">
        <w:rPr>
          <w:rFonts w:ascii="Times New Roman" w:hAnsi="Times New Roman"/>
          <w:b w:val="0"/>
          <w:color w:val="000000" w:themeColor="text1"/>
          <w:sz w:val="24"/>
          <w:szCs w:val="24"/>
        </w:rPr>
        <w:t xml:space="preserve"> (March &amp; Olsen, 1989)</w:t>
      </w:r>
      <w:r w:rsidR="00B10981" w:rsidRPr="00FB6109">
        <w:rPr>
          <w:rFonts w:ascii="Times New Roman" w:hAnsi="Times New Roman"/>
          <w:b w:val="0"/>
          <w:color w:val="000000" w:themeColor="text1"/>
          <w:sz w:val="24"/>
          <w:szCs w:val="24"/>
        </w:rPr>
        <w:t xml:space="preserve">. </w:t>
      </w:r>
    </w:p>
    <w:p w14:paraId="0C38E9FC" w14:textId="52975A67" w:rsidR="00B10981" w:rsidRPr="00FB6109" w:rsidRDefault="00B10981" w:rsidP="00B10981">
      <w:pPr>
        <w:ind w:firstLine="720"/>
        <w:rPr>
          <w:rFonts w:ascii="Times New Roman" w:hAnsi="Times New Roman"/>
          <w:b w:val="0"/>
          <w:color w:val="000000" w:themeColor="text1"/>
          <w:sz w:val="24"/>
          <w:szCs w:val="24"/>
        </w:rPr>
      </w:pPr>
      <w:r w:rsidRPr="00FB6109">
        <w:rPr>
          <w:rFonts w:ascii="Times New Roman" w:hAnsi="Times New Roman"/>
          <w:b w:val="0"/>
          <w:color w:val="000000" w:themeColor="text1"/>
          <w:sz w:val="24"/>
          <w:szCs w:val="24"/>
        </w:rPr>
        <w:t>Interestingly, the origin and evolutio</w:t>
      </w:r>
      <w:r w:rsidR="00B61D34" w:rsidRPr="00FB6109">
        <w:rPr>
          <w:rFonts w:ascii="Times New Roman" w:hAnsi="Times New Roman"/>
          <w:b w:val="0"/>
          <w:color w:val="000000" w:themeColor="text1"/>
          <w:sz w:val="24"/>
          <w:szCs w:val="24"/>
        </w:rPr>
        <w:t>n of institutional investors were</w:t>
      </w:r>
      <w:r w:rsidRPr="00FB6109">
        <w:rPr>
          <w:rFonts w:ascii="Times New Roman" w:hAnsi="Times New Roman"/>
          <w:b w:val="0"/>
          <w:color w:val="000000" w:themeColor="text1"/>
          <w:sz w:val="24"/>
          <w:szCs w:val="24"/>
        </w:rPr>
        <w:t xml:space="preserve"> driven by the individual’s motivation for saving for the future, leading financialization of the economy and emphasizing shareholder value orientation such as the explicit focus on the stock price and future growth opportunity for a firm</w:t>
      </w:r>
      <w:r w:rsidR="00F45CA5" w:rsidRPr="00FB6109">
        <w:rPr>
          <w:rFonts w:ascii="Times New Roman" w:hAnsi="Times New Roman"/>
          <w:b w:val="0"/>
          <w:color w:val="000000" w:themeColor="text1"/>
          <w:sz w:val="24"/>
          <w:szCs w:val="24"/>
        </w:rPr>
        <w:t xml:space="preserve"> (Davis, 2009; Dobbin, 1992; Jung &amp; Dobbin, 2012)</w:t>
      </w:r>
      <w:r w:rsidRPr="00FB6109">
        <w:rPr>
          <w:rFonts w:ascii="Times New Roman" w:hAnsi="Times New Roman"/>
          <w:b w:val="0"/>
          <w:color w:val="000000" w:themeColor="text1"/>
          <w:sz w:val="24"/>
          <w:szCs w:val="24"/>
        </w:rPr>
        <w:t>. Ironically, such market forces are negatively associated with clean technology innovation, which is nested in broader institutional demands for innovating for the future</w:t>
      </w:r>
      <w:r w:rsidR="00F45CA5" w:rsidRPr="00FB6109">
        <w:rPr>
          <w:rFonts w:ascii="Times New Roman" w:hAnsi="Times New Roman"/>
          <w:b w:val="0"/>
          <w:color w:val="000000" w:themeColor="text1"/>
          <w:sz w:val="24"/>
          <w:szCs w:val="24"/>
        </w:rPr>
        <w:t xml:space="preserve"> (Hoffman &amp; Jennings, 2015)</w:t>
      </w:r>
      <w:r w:rsidRPr="00FB6109">
        <w:rPr>
          <w:rFonts w:ascii="Times New Roman" w:hAnsi="Times New Roman"/>
          <w:b w:val="0"/>
          <w:color w:val="000000" w:themeColor="text1"/>
          <w:sz w:val="24"/>
          <w:szCs w:val="24"/>
        </w:rPr>
        <w:t xml:space="preserve">. Hence, our empirical case highlights the potential limitations to market logics in corporate environmentalism by presenting the paradox of institutional investor ownership: there are somehow fundamental tensions between ‘save for the future’ and ‘innovate for the future.’ </w:t>
      </w:r>
    </w:p>
    <w:p w14:paraId="7E752B9B" w14:textId="77777777" w:rsidR="00333CD3" w:rsidRPr="00FB6109" w:rsidRDefault="00333CD3" w:rsidP="00230CAE">
      <w:pPr>
        <w:rPr>
          <w:rFonts w:ascii="Times New Roman" w:hAnsi="Times New Roman"/>
          <w:sz w:val="24"/>
          <w:szCs w:val="24"/>
        </w:rPr>
      </w:pPr>
      <w:bookmarkStart w:id="0" w:name="_GoBack"/>
      <w:bookmarkEnd w:id="0"/>
    </w:p>
    <w:sectPr w:rsidR="00333CD3" w:rsidRPr="00FB6109" w:rsidSect="00813535">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4B565" w14:textId="77777777" w:rsidR="00224904" w:rsidRDefault="00224904" w:rsidP="004E020B">
      <w:r>
        <w:separator/>
      </w:r>
    </w:p>
  </w:endnote>
  <w:endnote w:type="continuationSeparator" w:id="0">
    <w:p w14:paraId="6A5B3115" w14:textId="77777777" w:rsidR="00224904" w:rsidRDefault="00224904" w:rsidP="004E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D07E" w14:textId="77777777" w:rsidR="00224904" w:rsidRDefault="00224904" w:rsidP="004F68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74518" w14:textId="77777777" w:rsidR="00224904" w:rsidRDefault="00224904" w:rsidP="004E02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6D7A8" w14:textId="77777777" w:rsidR="00224904" w:rsidRPr="004E020B" w:rsidRDefault="00224904" w:rsidP="004F6819">
    <w:pPr>
      <w:pStyle w:val="Footer"/>
      <w:framePr w:wrap="around" w:vAnchor="text" w:hAnchor="margin" w:xAlign="right" w:y="1"/>
      <w:rPr>
        <w:rStyle w:val="PageNumber"/>
        <w:rFonts w:ascii="Times New Roman" w:hAnsi="Times New Roman"/>
        <w:b w:val="0"/>
        <w:sz w:val="24"/>
        <w:szCs w:val="24"/>
      </w:rPr>
    </w:pPr>
    <w:r w:rsidRPr="004E020B">
      <w:rPr>
        <w:rStyle w:val="PageNumber"/>
        <w:rFonts w:ascii="Times New Roman" w:hAnsi="Times New Roman"/>
        <w:b w:val="0"/>
        <w:sz w:val="24"/>
        <w:szCs w:val="24"/>
      </w:rPr>
      <w:fldChar w:fldCharType="begin"/>
    </w:r>
    <w:r w:rsidRPr="004E020B">
      <w:rPr>
        <w:rStyle w:val="PageNumber"/>
        <w:rFonts w:ascii="Times New Roman" w:hAnsi="Times New Roman"/>
        <w:b w:val="0"/>
        <w:sz w:val="24"/>
        <w:szCs w:val="24"/>
      </w:rPr>
      <w:instrText xml:space="preserve">PAGE  </w:instrText>
    </w:r>
    <w:r w:rsidRPr="004E020B">
      <w:rPr>
        <w:rStyle w:val="PageNumber"/>
        <w:rFonts w:ascii="Times New Roman" w:hAnsi="Times New Roman"/>
        <w:b w:val="0"/>
        <w:sz w:val="24"/>
        <w:szCs w:val="24"/>
      </w:rPr>
      <w:fldChar w:fldCharType="separate"/>
    </w:r>
    <w:r w:rsidR="00DB50A1">
      <w:rPr>
        <w:rStyle w:val="PageNumber"/>
        <w:rFonts w:ascii="Times New Roman" w:hAnsi="Times New Roman"/>
        <w:b w:val="0"/>
        <w:noProof/>
        <w:sz w:val="24"/>
        <w:szCs w:val="24"/>
      </w:rPr>
      <w:t>1</w:t>
    </w:r>
    <w:r w:rsidRPr="004E020B">
      <w:rPr>
        <w:rStyle w:val="PageNumber"/>
        <w:rFonts w:ascii="Times New Roman" w:hAnsi="Times New Roman"/>
        <w:b w:val="0"/>
        <w:sz w:val="24"/>
        <w:szCs w:val="24"/>
      </w:rPr>
      <w:fldChar w:fldCharType="end"/>
    </w:r>
  </w:p>
  <w:p w14:paraId="5D6C1C06" w14:textId="77777777" w:rsidR="00224904" w:rsidRDefault="00224904" w:rsidP="004E02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6C8F3" w14:textId="77777777" w:rsidR="00224904" w:rsidRDefault="00224904" w:rsidP="004E020B">
      <w:r>
        <w:separator/>
      </w:r>
    </w:p>
  </w:footnote>
  <w:footnote w:type="continuationSeparator" w:id="0">
    <w:p w14:paraId="5B5461B5" w14:textId="77777777" w:rsidR="00224904" w:rsidRDefault="00224904" w:rsidP="004E0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0B"/>
    <w:rsid w:val="00042881"/>
    <w:rsid w:val="00215F19"/>
    <w:rsid w:val="00224904"/>
    <w:rsid w:val="00230CAE"/>
    <w:rsid w:val="002B5B3C"/>
    <w:rsid w:val="00333CD3"/>
    <w:rsid w:val="004E020B"/>
    <w:rsid w:val="004F6819"/>
    <w:rsid w:val="00813535"/>
    <w:rsid w:val="00B10981"/>
    <w:rsid w:val="00B61D34"/>
    <w:rsid w:val="00BE7703"/>
    <w:rsid w:val="00DB50A1"/>
    <w:rsid w:val="00E22BB6"/>
    <w:rsid w:val="00E361CB"/>
    <w:rsid w:val="00EE4619"/>
    <w:rsid w:val="00F45CA5"/>
    <w:rsid w:val="00FB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9B0F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EastAsia" w:hAnsi="Times New Roman Bold" w:cs="Times New Roman"/>
        <w:b/>
        <w:bCs/>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20B"/>
    <w:pPr>
      <w:tabs>
        <w:tab w:val="center" w:pos="4320"/>
        <w:tab w:val="right" w:pos="8640"/>
      </w:tabs>
    </w:pPr>
  </w:style>
  <w:style w:type="character" w:customStyle="1" w:styleId="FooterChar">
    <w:name w:val="Footer Char"/>
    <w:basedOn w:val="DefaultParagraphFont"/>
    <w:link w:val="Footer"/>
    <w:uiPriority w:val="99"/>
    <w:rsid w:val="004E020B"/>
  </w:style>
  <w:style w:type="character" w:styleId="PageNumber">
    <w:name w:val="page number"/>
    <w:basedOn w:val="DefaultParagraphFont"/>
    <w:uiPriority w:val="99"/>
    <w:semiHidden/>
    <w:unhideWhenUsed/>
    <w:rsid w:val="004E020B"/>
  </w:style>
  <w:style w:type="paragraph" w:styleId="Header">
    <w:name w:val="header"/>
    <w:basedOn w:val="Normal"/>
    <w:link w:val="HeaderChar"/>
    <w:uiPriority w:val="99"/>
    <w:unhideWhenUsed/>
    <w:rsid w:val="004E020B"/>
    <w:pPr>
      <w:tabs>
        <w:tab w:val="center" w:pos="4320"/>
        <w:tab w:val="right" w:pos="8640"/>
      </w:tabs>
    </w:pPr>
  </w:style>
  <w:style w:type="character" w:customStyle="1" w:styleId="HeaderChar">
    <w:name w:val="Header Char"/>
    <w:basedOn w:val="DefaultParagraphFont"/>
    <w:link w:val="Header"/>
    <w:uiPriority w:val="99"/>
    <w:rsid w:val="004E02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EastAsia" w:hAnsi="Times New Roman Bold" w:cs="Times New Roman"/>
        <w:b/>
        <w:bCs/>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20B"/>
    <w:pPr>
      <w:tabs>
        <w:tab w:val="center" w:pos="4320"/>
        <w:tab w:val="right" w:pos="8640"/>
      </w:tabs>
    </w:pPr>
  </w:style>
  <w:style w:type="character" w:customStyle="1" w:styleId="FooterChar">
    <w:name w:val="Footer Char"/>
    <w:basedOn w:val="DefaultParagraphFont"/>
    <w:link w:val="Footer"/>
    <w:uiPriority w:val="99"/>
    <w:rsid w:val="004E020B"/>
  </w:style>
  <w:style w:type="character" w:styleId="PageNumber">
    <w:name w:val="page number"/>
    <w:basedOn w:val="DefaultParagraphFont"/>
    <w:uiPriority w:val="99"/>
    <w:semiHidden/>
    <w:unhideWhenUsed/>
    <w:rsid w:val="004E020B"/>
  </w:style>
  <w:style w:type="paragraph" w:styleId="Header">
    <w:name w:val="header"/>
    <w:basedOn w:val="Normal"/>
    <w:link w:val="HeaderChar"/>
    <w:uiPriority w:val="99"/>
    <w:unhideWhenUsed/>
    <w:rsid w:val="004E020B"/>
    <w:pPr>
      <w:tabs>
        <w:tab w:val="center" w:pos="4320"/>
        <w:tab w:val="right" w:pos="8640"/>
      </w:tabs>
    </w:pPr>
  </w:style>
  <w:style w:type="character" w:customStyle="1" w:styleId="HeaderChar">
    <w:name w:val="Header Char"/>
    <w:basedOn w:val="DefaultParagraphFont"/>
    <w:link w:val="Header"/>
    <w:uiPriority w:val="99"/>
    <w:rsid w:val="004E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900</Words>
  <Characters>5433</Characters>
  <Application>Microsoft Macintosh Word</Application>
  <DocSecurity>0</DocSecurity>
  <Lines>217</Lines>
  <Paragraphs>129</Paragraphs>
  <ScaleCrop>false</ScaleCrop>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youngbin joo</dc:creator>
  <cp:keywords/>
  <dc:description/>
  <cp:lastModifiedBy>youngbin joo</cp:lastModifiedBy>
  <cp:revision>6</cp:revision>
  <dcterms:created xsi:type="dcterms:W3CDTF">2016-08-15T21:51:00Z</dcterms:created>
  <dcterms:modified xsi:type="dcterms:W3CDTF">2016-08-16T00:24:00Z</dcterms:modified>
</cp:coreProperties>
</file>